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F8ABB" w14:textId="16CCBEA2" w:rsidR="000E5618" w:rsidRPr="00E56D57" w:rsidRDefault="000E5618" w:rsidP="007E576C">
      <w:pPr>
        <w:spacing w:line="360" w:lineRule="auto"/>
        <w:ind w:right="-284"/>
        <w:jc w:val="center"/>
        <w:rPr>
          <w:b/>
          <w:sz w:val="23"/>
          <w:szCs w:val="23"/>
        </w:rPr>
      </w:pPr>
      <w:r w:rsidRPr="00E56D57">
        <w:rPr>
          <w:b/>
          <w:sz w:val="23"/>
          <w:szCs w:val="23"/>
        </w:rPr>
        <w:t xml:space="preserve">PARECER JURÍDICO Nº </w:t>
      </w:r>
      <w:r w:rsidR="00E242D5">
        <w:rPr>
          <w:b/>
          <w:sz w:val="23"/>
          <w:szCs w:val="23"/>
        </w:rPr>
        <w:t>85</w:t>
      </w:r>
      <w:r w:rsidRPr="00E56D57">
        <w:rPr>
          <w:b/>
          <w:sz w:val="23"/>
          <w:szCs w:val="23"/>
        </w:rPr>
        <w:t>/202</w:t>
      </w:r>
      <w:r w:rsidR="00E242D5">
        <w:rPr>
          <w:b/>
          <w:sz w:val="23"/>
          <w:szCs w:val="23"/>
        </w:rPr>
        <w:t>5</w:t>
      </w:r>
      <w:r w:rsidRPr="00E56D57">
        <w:rPr>
          <w:b/>
          <w:sz w:val="23"/>
          <w:szCs w:val="23"/>
        </w:rPr>
        <w:t>/DT</w:t>
      </w:r>
    </w:p>
    <w:p w14:paraId="499A3433" w14:textId="77777777" w:rsidR="000E5618" w:rsidRPr="00E56D57" w:rsidRDefault="000E5618" w:rsidP="007E576C">
      <w:pPr>
        <w:spacing w:line="360" w:lineRule="auto"/>
        <w:ind w:right="-284"/>
        <w:jc w:val="both"/>
        <w:rPr>
          <w:sz w:val="23"/>
          <w:szCs w:val="23"/>
        </w:rPr>
      </w:pPr>
    </w:p>
    <w:p w14:paraId="3BD16391" w14:textId="521B928E" w:rsidR="000E5618" w:rsidRPr="00E56D57" w:rsidRDefault="000E5618" w:rsidP="007E576C">
      <w:pPr>
        <w:spacing w:line="360" w:lineRule="auto"/>
        <w:ind w:right="-284"/>
        <w:jc w:val="both"/>
        <w:outlineLvl w:val="1"/>
        <w:rPr>
          <w:sz w:val="23"/>
          <w:szCs w:val="23"/>
        </w:rPr>
      </w:pPr>
      <w:r w:rsidRPr="00E56D57">
        <w:rPr>
          <w:b/>
          <w:sz w:val="23"/>
          <w:szCs w:val="23"/>
          <w:shd w:val="clear" w:color="auto" w:fill="FFFFFF"/>
        </w:rPr>
        <w:t>Consulente:</w:t>
      </w:r>
      <w:r w:rsidRPr="00E56D57">
        <w:rPr>
          <w:sz w:val="23"/>
          <w:szCs w:val="23"/>
          <w:shd w:val="clear" w:color="auto" w:fill="FFFFFF"/>
        </w:rPr>
        <w:t xml:space="preserve"> </w:t>
      </w:r>
      <w:r w:rsidR="00136B92" w:rsidRPr="00136B92">
        <w:rPr>
          <w:sz w:val="23"/>
          <w:szCs w:val="23"/>
          <w:shd w:val="clear" w:color="auto" w:fill="FFFFFF"/>
        </w:rPr>
        <w:t>Departamento de Licitações e Contratos – DLC</w:t>
      </w:r>
    </w:p>
    <w:p w14:paraId="29D1A00F" w14:textId="75642BB4" w:rsidR="007E576C" w:rsidRPr="00E56D57" w:rsidRDefault="000E5618" w:rsidP="005E7C9B">
      <w:pPr>
        <w:spacing w:line="360" w:lineRule="auto"/>
        <w:ind w:right="-284"/>
        <w:jc w:val="both"/>
        <w:rPr>
          <w:b/>
          <w:sz w:val="23"/>
          <w:szCs w:val="23"/>
        </w:rPr>
      </w:pPr>
      <w:r w:rsidRPr="00E56D57">
        <w:rPr>
          <w:b/>
          <w:sz w:val="23"/>
          <w:szCs w:val="23"/>
          <w:shd w:val="clear" w:color="auto" w:fill="FFFFFF"/>
        </w:rPr>
        <w:t>Assunto</w:t>
      </w:r>
      <w:r w:rsidRPr="00E56D57">
        <w:rPr>
          <w:sz w:val="23"/>
          <w:szCs w:val="23"/>
          <w:shd w:val="clear" w:color="auto" w:fill="FFFFFF"/>
        </w:rPr>
        <w:t>:</w:t>
      </w:r>
      <w:r w:rsidRPr="00E56D57">
        <w:rPr>
          <w:sz w:val="23"/>
          <w:szCs w:val="23"/>
        </w:rPr>
        <w:t xml:space="preserve"> </w:t>
      </w:r>
      <w:bookmarkStart w:id="0" w:name="_Hlk158109886"/>
      <w:r w:rsidR="005E7C9B" w:rsidRPr="005E7C9B">
        <w:rPr>
          <w:sz w:val="23"/>
          <w:szCs w:val="23"/>
        </w:rPr>
        <w:t xml:space="preserve">Análise </w:t>
      </w:r>
      <w:r w:rsidR="00E242D5">
        <w:rPr>
          <w:sz w:val="23"/>
          <w:szCs w:val="23"/>
        </w:rPr>
        <w:t>do pedido de reconsideração da empresa VMB Engenharia Ltda (CNPJ 59.794.865/0001-10)</w:t>
      </w:r>
    </w:p>
    <w:bookmarkEnd w:id="0"/>
    <w:p w14:paraId="465C9AC1" w14:textId="77777777" w:rsidR="000E5618" w:rsidRPr="00E56D57" w:rsidRDefault="000E5618" w:rsidP="007E576C">
      <w:pPr>
        <w:spacing w:line="360" w:lineRule="auto"/>
        <w:ind w:right="-284"/>
        <w:jc w:val="both"/>
        <w:rPr>
          <w:sz w:val="23"/>
          <w:szCs w:val="23"/>
        </w:rPr>
      </w:pPr>
    </w:p>
    <w:p w14:paraId="746048BA" w14:textId="5F309B96" w:rsidR="00DF3FD5" w:rsidRPr="00481262" w:rsidRDefault="00DF3FD5" w:rsidP="00DF3FD5">
      <w:pPr>
        <w:pStyle w:val="PargrafodaLista"/>
        <w:numPr>
          <w:ilvl w:val="0"/>
          <w:numId w:val="3"/>
        </w:numPr>
        <w:spacing w:line="360" w:lineRule="auto"/>
        <w:ind w:right="-284"/>
        <w:jc w:val="both"/>
        <w:rPr>
          <w:b/>
          <w:bCs/>
          <w:sz w:val="23"/>
          <w:szCs w:val="23"/>
        </w:rPr>
      </w:pPr>
      <w:r w:rsidRPr="00481262">
        <w:rPr>
          <w:b/>
          <w:bCs/>
        </w:rPr>
        <w:t>Relatório</w:t>
      </w:r>
    </w:p>
    <w:p w14:paraId="2CD2F4E4" w14:textId="034D3210" w:rsidR="00DF3FD5" w:rsidRDefault="00DF3FD5" w:rsidP="00DF3FD5">
      <w:pPr>
        <w:spacing w:before="240" w:line="360" w:lineRule="auto"/>
        <w:ind w:firstLine="705"/>
        <w:jc w:val="both"/>
      </w:pPr>
      <w:r>
        <w:t xml:space="preserve">O presente parecer jurídico tem como objetivo analisar </w:t>
      </w:r>
      <w:r w:rsidR="00E242D5">
        <w:t>o pedido de reconsideração à decisão do prefeito municipal que não acatou a</w:t>
      </w:r>
      <w:r>
        <w:t xml:space="preserve"> impugnação do edital de </w:t>
      </w:r>
      <w:r w:rsidR="00E242D5">
        <w:t>concorrência n. 01/2025</w:t>
      </w:r>
      <w:r>
        <w:t>.</w:t>
      </w:r>
    </w:p>
    <w:p w14:paraId="3A7B88EC" w14:textId="79A668EF" w:rsidR="00DF3FD5" w:rsidRDefault="00E242D5" w:rsidP="00DF3FD5">
      <w:pPr>
        <w:spacing w:before="240" w:line="360" w:lineRule="auto"/>
        <w:ind w:firstLine="705"/>
        <w:jc w:val="both"/>
      </w:pPr>
      <w:r>
        <w:t>A concorrência</w:t>
      </w:r>
      <w:r w:rsidR="00DF3FD5">
        <w:t xml:space="preserve"> tem como objeto</w:t>
      </w:r>
      <w:r>
        <w:t xml:space="preserve"> </w:t>
      </w:r>
      <w:r w:rsidRPr="00E242D5">
        <w:t>CONTRATAÇÃO DE EMPRESA PARA EXECUÇÃO DA OBRA DA NOVA UNIDADE BÁSICA DE SAÚDE PORTE I, ATRAVÉS DO NOVO PAC, PROPOSTA Nº 36000002336/2023 CONFORME PORTARIA GM/MS Nº 3.617, Nº 13886006000124001, COM FORNECIMENTO DE BENS E PRESTAÇÃO DE SERVIÇOS.</w:t>
      </w:r>
      <w:r w:rsidR="00DF3FD5">
        <w:t xml:space="preserve"> Com data de sessão marcada para o dia </w:t>
      </w:r>
      <w:r>
        <w:t>19</w:t>
      </w:r>
      <w:r w:rsidR="00DF3FD5">
        <w:t>/0</w:t>
      </w:r>
      <w:r>
        <w:t>3</w:t>
      </w:r>
      <w:r w:rsidR="00DF3FD5">
        <w:t>/202</w:t>
      </w:r>
      <w:r>
        <w:t>5</w:t>
      </w:r>
      <w:r w:rsidR="00DF3FD5">
        <w:t>.</w:t>
      </w:r>
    </w:p>
    <w:p w14:paraId="2683B53A" w14:textId="16481133" w:rsidR="00E242D5" w:rsidRDefault="00DF3FD5" w:rsidP="00DF3FD5">
      <w:pPr>
        <w:spacing w:before="240" w:line="360" w:lineRule="auto"/>
        <w:ind w:firstLine="705"/>
        <w:jc w:val="both"/>
      </w:pPr>
      <w:r>
        <w:t xml:space="preserve">A Impugnante enviou seu pedido no dia </w:t>
      </w:r>
      <w:r w:rsidR="00E242D5">
        <w:t>13</w:t>
      </w:r>
      <w:r>
        <w:t xml:space="preserve"> de março de 202</w:t>
      </w:r>
      <w:r w:rsidR="00E242D5">
        <w:t>5</w:t>
      </w:r>
      <w:r>
        <w:t>,</w:t>
      </w:r>
      <w:r w:rsidR="00E242D5">
        <w:t xml:space="preserve"> </w:t>
      </w:r>
      <w:r w:rsidR="00E242D5" w:rsidRPr="00E242D5">
        <w:t>sobre as supostas irregularidades do item nº 13.10 que o documento correto a ser solicitado para a habilitação técnica seria o CAO, um documento emitido pelo CRE/SC. E sobre a exigência da habilitação financeira com balanço patrimonial dos últimos dois anos;</w:t>
      </w:r>
    </w:p>
    <w:p w14:paraId="46531B3B" w14:textId="1523C4CC" w:rsidR="00DF3FD5" w:rsidRDefault="00E242D5" w:rsidP="00E242D5">
      <w:pPr>
        <w:spacing w:before="240" w:line="360" w:lineRule="auto"/>
        <w:ind w:firstLine="705"/>
        <w:jc w:val="both"/>
      </w:pPr>
      <w:r w:rsidRPr="00E242D5">
        <w:t>Considerando que no item 12.12 da habilitação econômica financeira, existe a nota explicativa n. 3, esclarecendo que o balanço patrimonial limitar-se-ão ao último exercício no caso de a pessoa jurídica ter sido constituída há menos de 2 (dois) anos. (Art. 69 §6º da Lei 14.133/21)</w:t>
      </w:r>
      <w:r>
        <w:t>.</w:t>
      </w:r>
    </w:p>
    <w:p w14:paraId="249FD89F" w14:textId="1F3ED991" w:rsidR="00E242D5" w:rsidRDefault="00E242D5" w:rsidP="00E242D5">
      <w:pPr>
        <w:spacing w:before="240" w:line="360" w:lineRule="auto"/>
        <w:ind w:firstLine="705"/>
        <w:jc w:val="both"/>
      </w:pPr>
      <w:r>
        <w:t xml:space="preserve">Sobre a decisão que manteve o edital inalterado, foi protocolado pedido de reconsideração. </w:t>
      </w:r>
    </w:p>
    <w:p w14:paraId="136B9B85" w14:textId="71AF78C1" w:rsidR="00DF3FD5" w:rsidRDefault="00DF3FD5" w:rsidP="00DF3FD5">
      <w:pPr>
        <w:spacing w:before="240" w:line="360" w:lineRule="auto"/>
        <w:ind w:firstLine="705"/>
        <w:jc w:val="both"/>
      </w:pPr>
      <w:r>
        <w:t>Síntese do necessário.</w:t>
      </w:r>
    </w:p>
    <w:p w14:paraId="6BD45A0A" w14:textId="77777777" w:rsidR="00E242D5" w:rsidRDefault="00E242D5" w:rsidP="00DF3FD5">
      <w:pPr>
        <w:spacing w:before="240" w:line="360" w:lineRule="auto"/>
        <w:ind w:firstLine="705"/>
        <w:jc w:val="both"/>
      </w:pPr>
    </w:p>
    <w:p w14:paraId="11B3F641" w14:textId="77777777" w:rsidR="002B6B03" w:rsidRDefault="002B6B03" w:rsidP="002B6B03">
      <w:pPr>
        <w:pStyle w:val="PargrafodaLista"/>
        <w:numPr>
          <w:ilvl w:val="0"/>
          <w:numId w:val="3"/>
        </w:numPr>
        <w:spacing w:before="240" w:line="360" w:lineRule="auto"/>
        <w:jc w:val="both"/>
        <w:rPr>
          <w:b/>
          <w:bCs/>
        </w:rPr>
      </w:pPr>
      <w:r>
        <w:rPr>
          <w:b/>
          <w:bCs/>
        </w:rPr>
        <w:lastRenderedPageBreak/>
        <w:t>Do mérito</w:t>
      </w:r>
    </w:p>
    <w:p w14:paraId="617E36E4" w14:textId="77777777" w:rsidR="00B1597A" w:rsidRDefault="00B1597A" w:rsidP="00A21AA9">
      <w:pPr>
        <w:spacing w:line="360" w:lineRule="auto"/>
        <w:ind w:right="-427" w:firstLine="708"/>
        <w:jc w:val="both"/>
      </w:pPr>
    </w:p>
    <w:p w14:paraId="7FA7B4D9" w14:textId="3338692A" w:rsidR="00A21AA9" w:rsidRDefault="00B1597A" w:rsidP="00A21AA9">
      <w:pPr>
        <w:spacing w:line="360" w:lineRule="auto"/>
        <w:ind w:right="-427" w:firstLine="708"/>
        <w:jc w:val="both"/>
      </w:pPr>
      <w:r>
        <w:t>Sobre a</w:t>
      </w:r>
      <w:r w:rsidRPr="00B1597A">
        <w:t xml:space="preserve"> impugna</w:t>
      </w:r>
      <w:r>
        <w:t>ção</w:t>
      </w:r>
      <w:r w:rsidRPr="00B1597A">
        <w:t xml:space="preserve"> a alínea "b" do item 13.10 do edital, já que o art. 67, II exige que o atestado seja emitido pelo conselho profissional, e que este temporariamente não está sendo emitido pelo CREA/SC, para que seja suprimida/excluída tal exigência</w:t>
      </w:r>
      <w:r>
        <w:t>, que já foi negado pela autoridade competente.</w:t>
      </w:r>
    </w:p>
    <w:p w14:paraId="7CA2EF21" w14:textId="1DD0EC5F" w:rsidR="00B1597A" w:rsidRDefault="0094565F" w:rsidP="0094565F">
      <w:pPr>
        <w:spacing w:line="360" w:lineRule="auto"/>
        <w:ind w:left="1701" w:right="-427"/>
        <w:jc w:val="both"/>
      </w:pPr>
      <w:r w:rsidRPr="0094565F">
        <w:t>Art. 67. A documentação relativa à qualificação técnico-profissional e técnico-operacional será restrita a:</w:t>
      </w:r>
      <w:r>
        <w:t xml:space="preserve"> [...]</w:t>
      </w:r>
    </w:p>
    <w:p w14:paraId="537247CB" w14:textId="5632396C" w:rsidR="0094565F" w:rsidRPr="0094565F" w:rsidRDefault="0094565F" w:rsidP="0094565F">
      <w:pPr>
        <w:spacing w:line="360" w:lineRule="auto"/>
        <w:ind w:left="1701" w:right="-427"/>
        <w:jc w:val="both"/>
        <w:rPr>
          <w:b/>
          <w:bCs/>
        </w:rPr>
      </w:pPr>
      <w:r w:rsidRPr="0094565F">
        <w:t xml:space="preserve">II - certidões ou atestados, regularmente emitidos pelo conselho profissional competente, quando for o caso, que demonstrem capacidade operacional na execução de serviços similares de complexidade tecnológica e operacional equivalente ou superior, </w:t>
      </w:r>
      <w:r w:rsidRPr="0094565F">
        <w:rPr>
          <w:b/>
          <w:bCs/>
        </w:rPr>
        <w:t>bem como documentos comprobatórios emitidos na forma do </w:t>
      </w:r>
      <w:hyperlink r:id="rId7" w:anchor="art88%C2%A73" w:history="1">
        <w:r w:rsidRPr="0094565F">
          <w:rPr>
            <w:rStyle w:val="Hyperlink"/>
            <w:b/>
            <w:bCs/>
          </w:rPr>
          <w:t>§ 3º do art. 88 desta Lei;</w:t>
        </w:r>
      </w:hyperlink>
    </w:p>
    <w:p w14:paraId="3366A4C9" w14:textId="04C4824B" w:rsidR="0094565F" w:rsidRDefault="0094565F" w:rsidP="0094565F">
      <w:pPr>
        <w:spacing w:line="360" w:lineRule="auto"/>
        <w:ind w:left="1701" w:right="-427"/>
        <w:jc w:val="both"/>
      </w:pPr>
      <w:r w:rsidRPr="0094565F">
        <w:t>Art. 88. Ao requerer, a qualquer tempo, inscrição no cadastro ou a sua atualização, o interessado fornecerá os elementos necessários exigidos para habilitação previstos nesta Lei.</w:t>
      </w:r>
      <w:r>
        <w:t xml:space="preserve"> [...]</w:t>
      </w:r>
    </w:p>
    <w:p w14:paraId="0AAECF05" w14:textId="7C0F6A9F" w:rsidR="0094565F" w:rsidRDefault="0094565F" w:rsidP="0094565F">
      <w:pPr>
        <w:spacing w:line="360" w:lineRule="auto"/>
        <w:ind w:left="1701" w:right="-427"/>
        <w:jc w:val="both"/>
      </w:pPr>
      <w:r w:rsidRPr="0094565F">
        <w:t xml:space="preserve">§ 3º </w:t>
      </w:r>
      <w:r w:rsidRPr="0094565F">
        <w:rPr>
          <w:b/>
          <w:bCs/>
        </w:rPr>
        <w:t>A atuação do contratado no cumprimento de obrigações assumidas será avaliada pelo contratante, que emitirá documento comprobatório da avaliação realizada, com menção ao seu desempenho na execução contratual, baseado em indicadores objetivamente definidos e aferidos, e a eventuais penalidades aplicadas, o que constará do registro cadastral em que a inscrição for realizada</w:t>
      </w:r>
      <w:r w:rsidRPr="0094565F">
        <w:t>.</w:t>
      </w:r>
      <w:r>
        <w:t xml:space="preserve"> (grifei).</w:t>
      </w:r>
    </w:p>
    <w:p w14:paraId="6C6F0FE0" w14:textId="2A6E6D64" w:rsidR="0094565F" w:rsidRDefault="0094565F" w:rsidP="0094565F">
      <w:pPr>
        <w:spacing w:line="360" w:lineRule="auto"/>
        <w:ind w:right="-427"/>
        <w:jc w:val="both"/>
      </w:pPr>
      <w:r>
        <w:tab/>
        <w:t xml:space="preserve">Pela leitura da letra seca da lei, percebe-se não haver qualquer ilegalidade, em outras pessoas que já contrataram a empresa emitir documento comprobatório </w:t>
      </w:r>
      <w:r w:rsidRPr="0094565F">
        <w:t>da avaliação realizada, com menção ao seu desempenho na execução contratual, baseado em indicadores objetivamente definidos e aferidos</w:t>
      </w:r>
      <w:r>
        <w:t>.</w:t>
      </w:r>
    </w:p>
    <w:p w14:paraId="04D19B80" w14:textId="2EC341EE" w:rsidR="00253696" w:rsidRPr="00253696" w:rsidRDefault="00253696" w:rsidP="00253696">
      <w:pPr>
        <w:spacing w:line="360" w:lineRule="auto"/>
        <w:ind w:right="-427"/>
        <w:jc w:val="both"/>
      </w:pPr>
      <w:r>
        <w:tab/>
        <w:t xml:space="preserve">Sobre o balanço de abertura, sim o mesmo é compatível a exigência da habilitação, nos termos do </w:t>
      </w:r>
      <w:r w:rsidRPr="00253696">
        <w:t xml:space="preserve">Art. 65. As condições de habilitação serão definidas no </w:t>
      </w:r>
      <w:bookmarkStart w:id="1" w:name="art65§1"/>
      <w:bookmarkEnd w:id="1"/>
      <w:r w:rsidRPr="00253696">
        <w:t>edital.</w:t>
      </w:r>
      <w:r>
        <w:t xml:space="preserve"> [...] </w:t>
      </w:r>
      <w:r w:rsidRPr="00253696">
        <w:t xml:space="preserve">§ 1º As empresas </w:t>
      </w:r>
      <w:r w:rsidRPr="00253696">
        <w:rPr>
          <w:b/>
          <w:bCs/>
        </w:rPr>
        <w:t>criadas no exercício financeiro da licitação deverão atender a todas as exigências da habilitação e ficarão autorizadas a substituir os demonstrativos contábeis pelo balanço de abertura.</w:t>
      </w:r>
    </w:p>
    <w:p w14:paraId="366427F4" w14:textId="78471E17" w:rsidR="00253696" w:rsidRPr="00B64A84" w:rsidRDefault="00253696" w:rsidP="0094565F">
      <w:pPr>
        <w:spacing w:line="360" w:lineRule="auto"/>
        <w:ind w:right="-427"/>
        <w:jc w:val="both"/>
      </w:pPr>
    </w:p>
    <w:p w14:paraId="113D1325" w14:textId="3FFAD0E3" w:rsidR="00E64B24" w:rsidRPr="002B6B03" w:rsidRDefault="00E64B24" w:rsidP="002B6B03">
      <w:pPr>
        <w:pStyle w:val="PargrafodaLista"/>
        <w:numPr>
          <w:ilvl w:val="0"/>
          <w:numId w:val="3"/>
        </w:numPr>
        <w:spacing w:before="240" w:line="360" w:lineRule="auto"/>
        <w:jc w:val="both"/>
        <w:rPr>
          <w:b/>
          <w:bCs/>
        </w:rPr>
      </w:pPr>
      <w:r w:rsidRPr="002B6B03">
        <w:rPr>
          <w:b/>
          <w:bCs/>
        </w:rPr>
        <w:lastRenderedPageBreak/>
        <w:t>Conclusão</w:t>
      </w:r>
    </w:p>
    <w:p w14:paraId="7C387E6C" w14:textId="77777777" w:rsidR="002B6B03" w:rsidRPr="00E64B24" w:rsidRDefault="002B6B03" w:rsidP="002B6B03">
      <w:pPr>
        <w:pStyle w:val="PargrafodaLista"/>
        <w:spacing w:before="240" w:line="360" w:lineRule="auto"/>
        <w:ind w:left="1425"/>
        <w:jc w:val="both"/>
        <w:rPr>
          <w:b/>
          <w:bCs/>
        </w:rPr>
      </w:pPr>
    </w:p>
    <w:p w14:paraId="3BF171F3" w14:textId="708835E6" w:rsidR="00BB5A58" w:rsidRDefault="00253696" w:rsidP="00BB5A58">
      <w:pPr>
        <w:spacing w:before="240" w:line="360" w:lineRule="auto"/>
        <w:ind w:firstLine="708"/>
        <w:jc w:val="both"/>
      </w:pPr>
      <w:r>
        <w:t>O pedido de reconsideração</w:t>
      </w:r>
      <w:r w:rsidR="00BB5A58">
        <w:t xml:space="preserve"> deve ser analisa por ser tempestiva, </w:t>
      </w:r>
      <w:r>
        <w:t>porém não possui fundamento para ser acatada</w:t>
      </w:r>
      <w:r w:rsidR="00A21AA9">
        <w:t>.</w:t>
      </w:r>
    </w:p>
    <w:p w14:paraId="210641DE" w14:textId="3B5DE12B" w:rsidR="00E64B24" w:rsidRDefault="00BB5A58" w:rsidP="00BB5A58">
      <w:pPr>
        <w:spacing w:before="240" w:line="360" w:lineRule="auto"/>
        <w:ind w:firstLine="708"/>
        <w:jc w:val="both"/>
      </w:pPr>
      <w:r>
        <w:t xml:space="preserve">O presente parecer é prestado sob o prisma estritamente jurídico, com caráter meramente opinativo não competindo adentrar no mérito da conveniência e oportunidade dos atos praticados pela autoridade competente. </w:t>
      </w:r>
    </w:p>
    <w:p w14:paraId="0819A89C" w14:textId="77777777" w:rsidR="00E64B24" w:rsidRDefault="00E64B24" w:rsidP="00E64B24">
      <w:pPr>
        <w:spacing w:before="240" w:line="360" w:lineRule="auto"/>
        <w:ind w:firstLine="708"/>
        <w:jc w:val="both"/>
      </w:pPr>
    </w:p>
    <w:p w14:paraId="7B1D2BB6" w14:textId="5B661CAC" w:rsidR="00E64B24" w:rsidRDefault="00E64B24" w:rsidP="00E64B24">
      <w:pPr>
        <w:spacing w:before="240" w:line="360" w:lineRule="auto"/>
        <w:ind w:firstLine="708"/>
        <w:jc w:val="both"/>
      </w:pPr>
      <w:r>
        <w:tab/>
        <w:t>É o parecer, salvo melhor juízo.</w:t>
      </w:r>
    </w:p>
    <w:p w14:paraId="455D9AB5" w14:textId="2AD20F9B" w:rsidR="008334A8" w:rsidRDefault="008334A8" w:rsidP="007E576C">
      <w:pPr>
        <w:spacing w:before="240" w:line="360" w:lineRule="auto"/>
        <w:jc w:val="both"/>
      </w:pPr>
    </w:p>
    <w:p w14:paraId="5C73530C" w14:textId="77808715" w:rsidR="008334A8" w:rsidRDefault="008334A8" w:rsidP="007E576C">
      <w:pPr>
        <w:spacing w:line="360" w:lineRule="auto"/>
        <w:jc w:val="right"/>
      </w:pPr>
      <w:r>
        <w:t xml:space="preserve">Quilombo, </w:t>
      </w:r>
      <w:r w:rsidR="00253696">
        <w:t>17</w:t>
      </w:r>
      <w:r w:rsidR="00A21AA9">
        <w:t xml:space="preserve"> </w:t>
      </w:r>
      <w:r>
        <w:t xml:space="preserve">de </w:t>
      </w:r>
      <w:r w:rsidR="00722106">
        <w:t>março</w:t>
      </w:r>
      <w:r>
        <w:t xml:space="preserve"> de 20</w:t>
      </w:r>
      <w:r w:rsidR="00841807">
        <w:t>2</w:t>
      </w:r>
      <w:r w:rsidR="00253696">
        <w:t>5</w:t>
      </w:r>
      <w:r>
        <w:t>.</w:t>
      </w:r>
    </w:p>
    <w:p w14:paraId="4F45E22D" w14:textId="77777777" w:rsidR="008334A8" w:rsidRDefault="008334A8" w:rsidP="007E576C">
      <w:pPr>
        <w:spacing w:line="360" w:lineRule="auto"/>
        <w:jc w:val="both"/>
      </w:pPr>
    </w:p>
    <w:p w14:paraId="05C89715" w14:textId="77777777" w:rsidR="007E576C" w:rsidRDefault="007E576C" w:rsidP="007E576C">
      <w:pPr>
        <w:spacing w:line="360" w:lineRule="auto"/>
        <w:jc w:val="both"/>
      </w:pPr>
    </w:p>
    <w:p w14:paraId="5132224D" w14:textId="77777777" w:rsidR="008334A8" w:rsidRPr="007E576C" w:rsidRDefault="008334A8" w:rsidP="007E576C">
      <w:pPr>
        <w:jc w:val="center"/>
        <w:rPr>
          <w:b/>
          <w:bCs/>
        </w:rPr>
      </w:pPr>
      <w:r w:rsidRPr="007E576C">
        <w:rPr>
          <w:b/>
          <w:bCs/>
        </w:rPr>
        <w:t xml:space="preserve">Diana </w:t>
      </w:r>
      <w:proofErr w:type="spellStart"/>
      <w:r w:rsidRPr="007E576C">
        <w:rPr>
          <w:b/>
          <w:bCs/>
        </w:rPr>
        <w:t>Tibolla</w:t>
      </w:r>
      <w:proofErr w:type="spellEnd"/>
    </w:p>
    <w:p w14:paraId="0B5ACE60" w14:textId="77777777" w:rsidR="008334A8" w:rsidRPr="007E576C" w:rsidRDefault="008334A8" w:rsidP="007E576C">
      <w:pPr>
        <w:jc w:val="center"/>
        <w:rPr>
          <w:b/>
          <w:bCs/>
        </w:rPr>
      </w:pPr>
      <w:r w:rsidRPr="007E576C">
        <w:rPr>
          <w:b/>
          <w:bCs/>
        </w:rPr>
        <w:t>OAB/SC 53.323</w:t>
      </w:r>
    </w:p>
    <w:p w14:paraId="05BCF7CD" w14:textId="77777777" w:rsidR="00841807" w:rsidRPr="007E576C" w:rsidRDefault="008334A8" w:rsidP="007E576C">
      <w:pPr>
        <w:jc w:val="center"/>
        <w:rPr>
          <w:b/>
          <w:bCs/>
        </w:rPr>
      </w:pPr>
      <w:r w:rsidRPr="007E576C">
        <w:rPr>
          <w:b/>
          <w:bCs/>
        </w:rPr>
        <w:t>Procuradora Assistente</w:t>
      </w:r>
    </w:p>
    <w:p w14:paraId="78ECD9C0" w14:textId="1A45E05C" w:rsidR="000E5618" w:rsidRPr="007E576C" w:rsidRDefault="008334A8" w:rsidP="007E576C">
      <w:pPr>
        <w:jc w:val="center"/>
        <w:rPr>
          <w:b/>
          <w:bCs/>
        </w:rPr>
      </w:pPr>
      <w:proofErr w:type="spellStart"/>
      <w:r w:rsidRPr="007E576C">
        <w:rPr>
          <w:b/>
          <w:bCs/>
        </w:rPr>
        <w:t>Matr</w:t>
      </w:r>
      <w:proofErr w:type="spellEnd"/>
      <w:r w:rsidRPr="007E576C">
        <w:rPr>
          <w:b/>
          <w:bCs/>
        </w:rPr>
        <w:t>. 20.425</w:t>
      </w:r>
    </w:p>
    <w:sectPr w:rsidR="000E5618" w:rsidRPr="007E576C" w:rsidSect="000E5618">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8C76" w14:textId="77777777" w:rsidR="000E5618" w:rsidRDefault="000E5618" w:rsidP="000E5618">
      <w:r>
        <w:separator/>
      </w:r>
    </w:p>
  </w:endnote>
  <w:endnote w:type="continuationSeparator" w:id="0">
    <w:p w14:paraId="306A385F" w14:textId="77777777" w:rsidR="000E5618" w:rsidRDefault="000E5618" w:rsidP="000E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C4FA" w14:textId="77777777" w:rsidR="000E5618" w:rsidRDefault="000E5618" w:rsidP="000E5618">
      <w:r>
        <w:separator/>
      </w:r>
    </w:p>
  </w:footnote>
  <w:footnote w:type="continuationSeparator" w:id="0">
    <w:p w14:paraId="7192BA75" w14:textId="77777777" w:rsidR="000E5618" w:rsidRDefault="000E5618" w:rsidP="000E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3924" w14:textId="248B60BA" w:rsidR="000E5618" w:rsidRPr="007E576C" w:rsidRDefault="000E5618" w:rsidP="000E5618">
    <w:pPr>
      <w:pStyle w:val="Cabealho"/>
      <w:tabs>
        <w:tab w:val="clear" w:pos="8504"/>
        <w:tab w:val="center" w:pos="4536"/>
        <w:tab w:val="right" w:pos="8505"/>
      </w:tabs>
      <w:ind w:left="567"/>
      <w:jc w:val="center"/>
      <w:rPr>
        <w:b/>
        <w:color w:val="BFBFBF" w:themeColor="background1" w:themeShade="BF"/>
        <w:sz w:val="22"/>
        <w:szCs w:val="22"/>
      </w:rPr>
    </w:pPr>
    <w:r w:rsidRPr="007E576C">
      <w:rPr>
        <w:b/>
        <w:noProof/>
        <w:color w:val="BFBFBF" w:themeColor="background1" w:themeShade="BF"/>
      </w:rPr>
      <w:drawing>
        <wp:anchor distT="0" distB="0" distL="0" distR="0" simplePos="0" relativeHeight="251658240" behindDoc="0" locked="0" layoutInCell="1" allowOverlap="1" wp14:anchorId="06E16EFB" wp14:editId="00B52245">
          <wp:simplePos x="0" y="0"/>
          <wp:positionH relativeFrom="page">
            <wp:posOffset>574040</wp:posOffset>
          </wp:positionH>
          <wp:positionV relativeFrom="paragraph">
            <wp:posOffset>-288925</wp:posOffset>
          </wp:positionV>
          <wp:extent cx="740410" cy="742950"/>
          <wp:effectExtent l="0" t="0" r="2540" b="0"/>
          <wp:wrapNone/>
          <wp:docPr id="18419130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76C">
      <w:rPr>
        <w:b/>
        <w:color w:val="BFBFBF" w:themeColor="background1" w:themeShade="BF"/>
        <w:sz w:val="22"/>
        <w:szCs w:val="22"/>
      </w:rPr>
      <w:t>PREFEITURA MUNICIPAL DE QUILOMBO</w:t>
    </w:r>
  </w:p>
  <w:p w14:paraId="64181706" w14:textId="77777777" w:rsidR="000E5618" w:rsidRPr="007E576C" w:rsidRDefault="000E5618" w:rsidP="000E5618">
    <w:pPr>
      <w:pStyle w:val="Cabealho"/>
      <w:ind w:left="567"/>
      <w:jc w:val="center"/>
      <w:rPr>
        <w:color w:val="BFBFBF" w:themeColor="background1" w:themeShade="BF"/>
        <w:sz w:val="22"/>
        <w:szCs w:val="22"/>
      </w:rPr>
    </w:pPr>
    <w:r w:rsidRPr="007E576C">
      <w:rPr>
        <w:b/>
        <w:color w:val="BFBFBF" w:themeColor="background1" w:themeShade="BF"/>
        <w:sz w:val="22"/>
        <w:szCs w:val="22"/>
      </w:rPr>
      <w:t>PROCURADORIA JURÍDICA</w:t>
    </w:r>
  </w:p>
  <w:p w14:paraId="56E24A08" w14:textId="77777777" w:rsidR="000E5618" w:rsidRPr="000E5618" w:rsidRDefault="000E56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4005"/>
    <w:multiLevelType w:val="hybridMultilevel"/>
    <w:tmpl w:val="35D0B2FE"/>
    <w:lvl w:ilvl="0" w:tplc="440036D6">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887363B"/>
    <w:multiLevelType w:val="hybridMultilevel"/>
    <w:tmpl w:val="F4E69B9A"/>
    <w:lvl w:ilvl="0" w:tplc="35820938">
      <w:start w:val="1"/>
      <w:numFmt w:val="upp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50B33BE3"/>
    <w:multiLevelType w:val="hybridMultilevel"/>
    <w:tmpl w:val="339C4B54"/>
    <w:lvl w:ilvl="0" w:tplc="B2CA694E">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16cid:durableId="1963270683">
    <w:abstractNumId w:val="0"/>
  </w:num>
  <w:num w:numId="2" w16cid:durableId="188766030">
    <w:abstractNumId w:val="1"/>
  </w:num>
  <w:num w:numId="3" w16cid:durableId="136841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94"/>
    <w:rsid w:val="000245BD"/>
    <w:rsid w:val="000E5618"/>
    <w:rsid w:val="001316E9"/>
    <w:rsid w:val="00136B92"/>
    <w:rsid w:val="00253696"/>
    <w:rsid w:val="002B5C41"/>
    <w:rsid w:val="002B6B03"/>
    <w:rsid w:val="00395420"/>
    <w:rsid w:val="00413C10"/>
    <w:rsid w:val="00481262"/>
    <w:rsid w:val="004D7169"/>
    <w:rsid w:val="0051270F"/>
    <w:rsid w:val="005C78AC"/>
    <w:rsid w:val="005E7C9B"/>
    <w:rsid w:val="00681A6C"/>
    <w:rsid w:val="00722106"/>
    <w:rsid w:val="00781B50"/>
    <w:rsid w:val="007E08C7"/>
    <w:rsid w:val="007E576C"/>
    <w:rsid w:val="00821733"/>
    <w:rsid w:val="008334A8"/>
    <w:rsid w:val="00841807"/>
    <w:rsid w:val="0086358D"/>
    <w:rsid w:val="0094565F"/>
    <w:rsid w:val="009B0013"/>
    <w:rsid w:val="009B28C6"/>
    <w:rsid w:val="009D56C3"/>
    <w:rsid w:val="00A21AA9"/>
    <w:rsid w:val="00A3136F"/>
    <w:rsid w:val="00A83E94"/>
    <w:rsid w:val="00B1597A"/>
    <w:rsid w:val="00B578BF"/>
    <w:rsid w:val="00BB1020"/>
    <w:rsid w:val="00BB186B"/>
    <w:rsid w:val="00BB5A58"/>
    <w:rsid w:val="00BD2C12"/>
    <w:rsid w:val="00C52B35"/>
    <w:rsid w:val="00D06FE4"/>
    <w:rsid w:val="00DF3FD5"/>
    <w:rsid w:val="00E242D5"/>
    <w:rsid w:val="00E64B24"/>
    <w:rsid w:val="00EC336C"/>
    <w:rsid w:val="00F12E9D"/>
    <w:rsid w:val="00F84B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B9173"/>
  <w15:chartTrackingRefBased/>
  <w15:docId w15:val="{D5C5FC21-A7A5-4E0A-BF1C-93B2A294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18"/>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E5618"/>
    <w:pPr>
      <w:tabs>
        <w:tab w:val="center" w:pos="4252"/>
        <w:tab w:val="right" w:pos="8504"/>
      </w:tabs>
    </w:pPr>
  </w:style>
  <w:style w:type="character" w:customStyle="1" w:styleId="CabealhoChar">
    <w:name w:val="Cabeçalho Char"/>
    <w:basedOn w:val="Fontepargpadro"/>
    <w:link w:val="Cabealho"/>
    <w:uiPriority w:val="99"/>
    <w:rsid w:val="000E5618"/>
  </w:style>
  <w:style w:type="paragraph" w:styleId="Rodap">
    <w:name w:val="footer"/>
    <w:basedOn w:val="Normal"/>
    <w:link w:val="RodapChar"/>
    <w:uiPriority w:val="99"/>
    <w:unhideWhenUsed/>
    <w:rsid w:val="000E5618"/>
    <w:pPr>
      <w:tabs>
        <w:tab w:val="center" w:pos="4252"/>
        <w:tab w:val="right" w:pos="8504"/>
      </w:tabs>
    </w:pPr>
  </w:style>
  <w:style w:type="character" w:customStyle="1" w:styleId="RodapChar">
    <w:name w:val="Rodapé Char"/>
    <w:basedOn w:val="Fontepargpadro"/>
    <w:link w:val="Rodap"/>
    <w:uiPriority w:val="99"/>
    <w:rsid w:val="000E5618"/>
  </w:style>
  <w:style w:type="paragraph" w:styleId="PargrafodaLista">
    <w:name w:val="List Paragraph"/>
    <w:basedOn w:val="Normal"/>
    <w:uiPriority w:val="34"/>
    <w:qFormat/>
    <w:rsid w:val="00413C10"/>
    <w:pPr>
      <w:ind w:left="720"/>
      <w:contextualSpacing/>
    </w:pPr>
  </w:style>
  <w:style w:type="character" w:styleId="Hyperlink">
    <w:name w:val="Hyperlink"/>
    <w:basedOn w:val="Fontepargpadro"/>
    <w:uiPriority w:val="99"/>
    <w:unhideWhenUsed/>
    <w:rsid w:val="0094565F"/>
    <w:rPr>
      <w:color w:val="0563C1" w:themeColor="hyperlink"/>
      <w:u w:val="single"/>
    </w:rPr>
  </w:style>
  <w:style w:type="character" w:styleId="MenoPendente">
    <w:name w:val="Unresolved Mention"/>
    <w:basedOn w:val="Fontepargpadro"/>
    <w:uiPriority w:val="99"/>
    <w:semiHidden/>
    <w:unhideWhenUsed/>
    <w:rsid w:val="0094565F"/>
    <w:rPr>
      <w:color w:val="605E5C"/>
      <w:shd w:val="clear" w:color="auto" w:fill="E1DFDD"/>
    </w:rPr>
  </w:style>
  <w:style w:type="paragraph" w:styleId="NormalWeb">
    <w:name w:val="Normal (Web)"/>
    <w:basedOn w:val="Normal"/>
    <w:uiPriority w:val="99"/>
    <w:semiHidden/>
    <w:unhideWhenUsed/>
    <w:rsid w:val="0025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980099">
      <w:bodyDiv w:val="1"/>
      <w:marLeft w:val="0"/>
      <w:marRight w:val="0"/>
      <w:marTop w:val="0"/>
      <w:marBottom w:val="0"/>
      <w:divBdr>
        <w:top w:val="none" w:sz="0" w:space="0" w:color="auto"/>
        <w:left w:val="none" w:sz="0" w:space="0" w:color="auto"/>
        <w:bottom w:val="none" w:sz="0" w:space="0" w:color="auto"/>
        <w:right w:val="none" w:sz="0" w:space="0" w:color="auto"/>
      </w:divBdr>
    </w:div>
    <w:div w:id="20636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622</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12</cp:revision>
  <cp:lastPrinted>2025-03-17T18:52:00Z</cp:lastPrinted>
  <dcterms:created xsi:type="dcterms:W3CDTF">2024-02-06T12:16:00Z</dcterms:created>
  <dcterms:modified xsi:type="dcterms:W3CDTF">2025-03-17T19:04:00Z</dcterms:modified>
</cp:coreProperties>
</file>