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CC0F" w14:textId="1C56645B" w:rsidR="003E1756" w:rsidRPr="005A5328" w:rsidRDefault="003E1756" w:rsidP="003E17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</w:t>
      </w:r>
      <w:r w:rsidR="001B3ECA">
        <w:rPr>
          <w:rFonts w:ascii="Tahoma" w:hAnsi="Tahoma"/>
          <w:b/>
          <w:sz w:val="22"/>
        </w:rPr>
        <w:t>3</w:t>
      </w:r>
      <w:r w:rsidR="00195E7B">
        <w:rPr>
          <w:rFonts w:ascii="Tahoma" w:hAnsi="Tahoma"/>
          <w:b/>
          <w:sz w:val="22"/>
        </w:rPr>
        <w:t>6</w:t>
      </w:r>
      <w:r>
        <w:rPr>
          <w:rFonts w:ascii="Tahoma" w:hAnsi="Tahoma"/>
          <w:b/>
          <w:sz w:val="22"/>
        </w:rPr>
        <w:t>/2024</w:t>
      </w:r>
      <w:r w:rsidRPr="00802E45">
        <w:rPr>
          <w:rFonts w:ascii="Tahoma" w:hAnsi="Tahoma"/>
          <w:b/>
          <w:sz w:val="22"/>
        </w:rPr>
        <w:t xml:space="preserve"> - DE </w:t>
      </w:r>
      <w:r w:rsidR="00A8624D">
        <w:rPr>
          <w:rFonts w:ascii="Tahoma" w:hAnsi="Tahoma"/>
          <w:b/>
          <w:sz w:val="22"/>
        </w:rPr>
        <w:t>1</w:t>
      </w:r>
      <w:r w:rsidR="00195E7B">
        <w:rPr>
          <w:rFonts w:ascii="Tahoma" w:hAnsi="Tahoma"/>
          <w:b/>
          <w:sz w:val="22"/>
        </w:rPr>
        <w:t>1</w:t>
      </w:r>
      <w:r>
        <w:rPr>
          <w:rFonts w:ascii="Tahoma" w:hAnsi="Tahoma"/>
          <w:b/>
          <w:sz w:val="22"/>
        </w:rPr>
        <w:t xml:space="preserve">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2024</w:t>
      </w:r>
      <w:r w:rsidRPr="00F41D48">
        <w:rPr>
          <w:rFonts w:ascii="Tahoma" w:hAnsi="Tahoma"/>
          <w:b/>
          <w:sz w:val="22"/>
        </w:rPr>
        <w:t>.</w:t>
      </w:r>
    </w:p>
    <w:p w14:paraId="5D3B0256" w14:textId="77777777" w:rsidR="003E1756" w:rsidRDefault="003E1756" w:rsidP="003E1756">
      <w:pPr>
        <w:pStyle w:val="TextosemFormatao"/>
        <w:jc w:val="right"/>
        <w:rPr>
          <w:rFonts w:ascii="Tahoma" w:hAnsi="Tahoma"/>
          <w:sz w:val="22"/>
        </w:rPr>
      </w:pPr>
    </w:p>
    <w:p w14:paraId="3BD5817F" w14:textId="128F3FB8" w:rsidR="003E1756" w:rsidRPr="00802E45" w:rsidRDefault="003E1756" w:rsidP="003E1756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CONVOCAÇÃO D</w:t>
      </w:r>
      <w:r w:rsidR="004F1FB0">
        <w:rPr>
          <w:rFonts w:ascii="Tahoma" w:hAnsi="Tahoma"/>
          <w:b/>
          <w:sz w:val="22"/>
        </w:rPr>
        <w:t xml:space="preserve">E </w:t>
      </w:r>
      <w:r w:rsidR="00DA35C9">
        <w:rPr>
          <w:rFonts w:ascii="Tahoma" w:hAnsi="Tahoma"/>
          <w:b/>
          <w:sz w:val="22"/>
        </w:rPr>
        <w:t>SALETE OSOKOSKI BIASOLI</w:t>
      </w:r>
      <w:r w:rsidR="004F1FB0">
        <w:rPr>
          <w:rFonts w:ascii="Tahoma" w:hAnsi="Tahoma"/>
          <w:b/>
          <w:sz w:val="22"/>
        </w:rPr>
        <w:t xml:space="preserve"> P</w:t>
      </w:r>
      <w:r>
        <w:rPr>
          <w:rFonts w:ascii="Tahoma" w:hAnsi="Tahoma"/>
          <w:b/>
          <w:sz w:val="22"/>
        </w:rPr>
        <w:t>ARA COMPOR O CONSELHO TUTELAR DOS DIREITOS DA CRIANÇA E DO ADOLESCENTE DE QUILOMBO E DÁ OUTRAS PROVIDÊNCIAS.</w:t>
      </w:r>
    </w:p>
    <w:p w14:paraId="08D5C054" w14:textId="77777777" w:rsidR="003E1756" w:rsidRDefault="003E1756" w:rsidP="003E1756">
      <w:pPr>
        <w:pStyle w:val="TextosemFormatao"/>
        <w:rPr>
          <w:rFonts w:ascii="Tahoma" w:hAnsi="Tahoma"/>
          <w:sz w:val="22"/>
        </w:rPr>
      </w:pPr>
    </w:p>
    <w:p w14:paraId="0B400C2B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IX, do Art. 65 da Lei Orgânica Municipal e de conformidade com a Lei Municipal nº 2.506/2015, de 26 de março de 2015 e Lei Municipal nº 3.065/2023, de 24 de março de 2023.</w:t>
      </w:r>
    </w:p>
    <w:p w14:paraId="331F8332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5AF8EA2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Conselheiro Tutelar que ocorreram em 01 de outubro de 2023; </w:t>
      </w:r>
    </w:p>
    <w:p w14:paraId="1A3AF37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29A0EC4" w14:textId="42E3879B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>o o resultado das eleições do Conselho Tutelar, em 01 de outubro de 2023;</w:t>
      </w:r>
    </w:p>
    <w:p w14:paraId="2DD628D1" w14:textId="0BE895CC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74C76B9A" w14:textId="01DDF840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1B3ECA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Decreto 0</w:t>
      </w:r>
      <w:r w:rsidR="00A8624D">
        <w:rPr>
          <w:rFonts w:ascii="Tahoma" w:hAnsi="Tahoma"/>
          <w:sz w:val="22"/>
        </w:rPr>
        <w:t>3</w:t>
      </w:r>
      <w:r w:rsidR="0040272C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 xml:space="preserve">/2024 de </w:t>
      </w:r>
      <w:r w:rsidR="00A8624D">
        <w:rPr>
          <w:rFonts w:ascii="Tahoma" w:hAnsi="Tahoma"/>
          <w:sz w:val="22"/>
        </w:rPr>
        <w:t>1</w:t>
      </w:r>
      <w:r w:rsidR="0040272C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 de janeiro de 2024, que dispõe sobre a desistência do membro para compor o conselho tutelar;</w:t>
      </w:r>
    </w:p>
    <w:p w14:paraId="4B355171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57822687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47EB9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que a posse de todos os Conselheiros Tutelares eleitos, deverá ocorrer no dia 10 de janeiro do ano subsequente ao processo de escolha, conforme dispõe o Art. 139, §2º do Estatuto da Criança e do Adolescente;</w:t>
      </w:r>
    </w:p>
    <w:p w14:paraId="370CF803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0793654F" w14:textId="77777777" w:rsidR="003E1756" w:rsidRDefault="003E1756" w:rsidP="003E1756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334EF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capacitação dos novos membros do Conselho Tutelar conforme item 11.5 do Edital n. 01/2023/CMDCA;</w:t>
      </w:r>
    </w:p>
    <w:p w14:paraId="3CA22F7D" w14:textId="77777777" w:rsidR="003E1756" w:rsidRDefault="003E1756" w:rsidP="003E1756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35049332" w14:textId="77777777" w:rsidR="003E1756" w:rsidRPr="00802E45" w:rsidRDefault="003E1756" w:rsidP="003E1756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0B8FB544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2329ABD9" w14:textId="09CEE995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convocad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</w:t>
      </w:r>
      <w:r w:rsidR="00A8624D">
        <w:rPr>
          <w:rFonts w:ascii="Tahoma" w:hAnsi="Tahoma"/>
          <w:sz w:val="22"/>
        </w:rPr>
        <w:t>à</w:t>
      </w:r>
      <w:r w:rsidR="00541DFD">
        <w:rPr>
          <w:rFonts w:ascii="Tahoma" w:hAnsi="Tahoma"/>
          <w:sz w:val="22"/>
        </w:rPr>
        <w:t xml:space="preserve"> suplente </w:t>
      </w:r>
      <w:r w:rsidR="002A3A49">
        <w:rPr>
          <w:rFonts w:ascii="Tahoma" w:hAnsi="Tahoma"/>
          <w:b/>
          <w:sz w:val="22"/>
        </w:rPr>
        <w:t>Luciane Maria Dal Santo do Nascimento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para tomar posse no cargo de membro do Conselho Tutelar, com mandato de 04 (quatro) anos, eleit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em </w:t>
      </w:r>
      <w:r w:rsidR="002A3A49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º lugar na eleição do dia 01 de outubro de 2023, para integrar o Conselho Tutelar dos Direitos da Criança e do Adolescente.</w:t>
      </w:r>
    </w:p>
    <w:p w14:paraId="10B27BE0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470443" w14:textId="68BB17C1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candidat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fica convocad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a comparecer no Setor de Recursos Humanos, para tomar posse no cargo no dia 1</w:t>
      </w:r>
      <w:r w:rsidR="00A8624D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 xml:space="preserve"> (</w:t>
      </w:r>
      <w:r w:rsidR="00A8624D">
        <w:rPr>
          <w:rFonts w:ascii="Tahoma" w:hAnsi="Tahoma"/>
          <w:sz w:val="22"/>
        </w:rPr>
        <w:t>doze</w:t>
      </w:r>
      <w:r>
        <w:rPr>
          <w:rFonts w:ascii="Tahoma" w:hAnsi="Tahoma"/>
          <w:sz w:val="22"/>
        </w:rPr>
        <w:t>) de janeiro, portando todos os documentos requisitados pela administração, conforme segue abaixo;</w:t>
      </w:r>
    </w:p>
    <w:p w14:paraId="017B478D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B1A8A9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Tahoma" w:hAnsi="Tahoma"/>
          <w:sz w:val="22"/>
        </w:rPr>
        <w:t>Carteira de Identidade;</w:t>
      </w:r>
    </w:p>
    <w:p w14:paraId="5444C230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CPF;</w:t>
      </w:r>
    </w:p>
    <w:p w14:paraId="6CDA8FC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Título Eleitoral;</w:t>
      </w:r>
    </w:p>
    <w:p w14:paraId="17CA345D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Comprovante de Quitação Militar – Dispensa – 3ª (se necessário);</w:t>
      </w:r>
    </w:p>
    <w:p w14:paraId="43478576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29D7EA1E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Tipagem Sanguínea;</w:t>
      </w:r>
    </w:p>
    <w:p w14:paraId="5B3D4A1A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Registro Civil (casamento ou nascimento);</w:t>
      </w:r>
    </w:p>
    <w:p w14:paraId="5950B30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>– Comprovante de Endereço;</w:t>
      </w:r>
    </w:p>
    <w:p w14:paraId="07F1808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>Uma foto 3x4;</w:t>
      </w:r>
    </w:p>
    <w:p w14:paraId="56DD1C47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Pr="00BA510A">
        <w:rPr>
          <w:rFonts w:ascii="Arial" w:hAnsi="Arial" w:cs="Arial"/>
          <w:b/>
          <w:sz w:val="22"/>
          <w:szCs w:val="22"/>
        </w:rPr>
        <w:t>EPROC</w:t>
      </w:r>
      <w:r w:rsidRPr="00BA510A">
        <w:rPr>
          <w:rFonts w:ascii="Arial" w:hAnsi="Arial" w:cs="Arial"/>
          <w:sz w:val="22"/>
          <w:szCs w:val="22"/>
        </w:rPr>
        <w:t xml:space="preserve"> e </w:t>
      </w:r>
      <w:r w:rsidRPr="00BA510A">
        <w:rPr>
          <w:rFonts w:ascii="Arial" w:hAnsi="Arial" w:cs="Arial"/>
          <w:b/>
          <w:sz w:val="22"/>
          <w:szCs w:val="22"/>
        </w:rPr>
        <w:t>SAJ</w:t>
      </w:r>
      <w:r w:rsidRPr="00BA510A">
        <w:rPr>
          <w:rFonts w:ascii="Arial" w:hAnsi="Arial" w:cs="Arial"/>
          <w:sz w:val="22"/>
          <w:szCs w:val="22"/>
        </w:rPr>
        <w:t xml:space="preserve"> de 1° e 2° grau, disponível no link</w:t>
      </w:r>
      <w:r w:rsidRPr="0018176D">
        <w:rPr>
          <w:rFonts w:ascii="Arial" w:hAnsi="Arial" w:cs="Arial"/>
          <w:sz w:val="22"/>
          <w:szCs w:val="22"/>
        </w:rPr>
        <w:t>:</w:t>
      </w:r>
      <w:r w:rsidRPr="00FA6E80">
        <w:rPr>
          <w:rFonts w:ascii="Arial" w:hAnsi="Arial" w:cs="Arial"/>
          <w:sz w:val="22"/>
          <w:szCs w:val="22"/>
        </w:rPr>
        <w:t>https://www.tjsc.jus.br/web/judicial/certidoes</w:t>
      </w:r>
    </w:p>
    <w:p w14:paraId="7B92AA1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Quitação Eleitoral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4493BCB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Crimes Eleitorais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72BCD269" w14:textId="77777777" w:rsidR="0036533F" w:rsidRPr="00983700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50E0FCF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Laudo médico;</w:t>
      </w:r>
    </w:p>
    <w:p w14:paraId="62560651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 xml:space="preserve">Conta salário, </w:t>
      </w:r>
      <w:r>
        <w:rPr>
          <w:rFonts w:ascii="Arial" w:hAnsi="Arial" w:cs="Arial"/>
          <w:sz w:val="22"/>
          <w:szCs w:val="22"/>
        </w:rPr>
        <w:t>CRESOL SANTIAGO</w:t>
      </w:r>
      <w:r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3BC1ACBF" w14:textId="77777777" w:rsidR="005D4612" w:rsidRPr="00BA510A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>Declaração de Incompatibilidade de Horário</w:t>
      </w:r>
      <w:r w:rsidRPr="00B97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00CFCCC" w14:textId="77777777" w:rsidR="005D4612" w:rsidRPr="00983700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XVII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36411">
        <w:rPr>
          <w:rFonts w:ascii="Arial" w:hAnsi="Arial" w:cs="Arial"/>
          <w:sz w:val="22"/>
          <w:szCs w:val="22"/>
        </w:rPr>
        <w:t xml:space="preserve"> </w:t>
      </w:r>
      <w:r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>
        <w:rPr>
          <w:rFonts w:ascii="Arial" w:hAnsi="Arial" w:cs="Arial"/>
          <w:sz w:val="22"/>
          <w:szCs w:val="22"/>
        </w:rPr>
        <w:t xml:space="preserve"> 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5D4AD6AE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B1AB05F" w14:textId="77777777" w:rsidR="005D4612" w:rsidRPr="00B97CC1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Declaração que não exerce qualquer outra atividade pública ou privada, nos termos do Art. 38 da Resolução nº170, de 10 de dezembro de 20214, do CONANDA,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69ECFA36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Telefone:</w:t>
      </w:r>
    </w:p>
    <w:p w14:paraId="4347D151" w14:textId="77777777" w:rsidR="005D4612" w:rsidRDefault="005D4612" w:rsidP="005D4612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E-mail:</w:t>
      </w:r>
    </w:p>
    <w:p w14:paraId="3535F940" w14:textId="77777777" w:rsidR="005D4612" w:rsidRPr="003C442A" w:rsidRDefault="005D4612" w:rsidP="005D4612">
      <w:pPr>
        <w:pStyle w:val="TextosemFormatao"/>
        <w:ind w:firstLine="851"/>
        <w:jc w:val="both"/>
        <w:rPr>
          <w:b/>
          <w:bCs/>
        </w:rPr>
      </w:pPr>
    </w:p>
    <w:p w14:paraId="72A7EA82" w14:textId="303F5244" w:rsidR="005D4612" w:rsidRDefault="005D4612" w:rsidP="005D461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 w:rsidR="001E7DD5" w:rsidRPr="001E7DD5">
        <w:rPr>
          <w:rFonts w:ascii="Tahoma" w:hAnsi="Tahoma" w:cs="Tahoma"/>
          <w:sz w:val="22"/>
          <w:szCs w:val="22"/>
        </w:rPr>
        <w:t>.</w:t>
      </w:r>
    </w:p>
    <w:p w14:paraId="2EDC6A66" w14:textId="77777777" w:rsidR="005D4612" w:rsidRDefault="005D4612" w:rsidP="005D4612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8EA978E" w14:textId="70D0BD5A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Revogam-se as disposições em contrário.</w:t>
      </w:r>
    </w:p>
    <w:p w14:paraId="3AC50DE2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4B27523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3D4497FB" w14:textId="77DCF6E8" w:rsidR="005D4612" w:rsidRDefault="005D4612" w:rsidP="005D4612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A8624D">
        <w:rPr>
          <w:rFonts w:ascii="Tahoma" w:hAnsi="Tahoma"/>
          <w:sz w:val="22"/>
        </w:rPr>
        <w:t>1</w:t>
      </w:r>
      <w:r w:rsidR="002A3A49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 de janeiro de 2024.</w:t>
      </w:r>
    </w:p>
    <w:p w14:paraId="0B8750FA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3A43A9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342971E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CAC22E0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2C2E86D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A5BA3F2" w14:textId="77777777" w:rsidR="005D4612" w:rsidRPr="002A20DA" w:rsidRDefault="005D4612" w:rsidP="005D461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68AD489D" w14:textId="77777777" w:rsidR="005D4612" w:rsidRDefault="005D4612" w:rsidP="005D46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AC796BC" w14:textId="77777777" w:rsidR="005D4612" w:rsidRDefault="005D4612" w:rsidP="005D4612">
      <w:pPr>
        <w:pStyle w:val="TextosemFormatao"/>
        <w:jc w:val="both"/>
        <w:rPr>
          <w:rFonts w:ascii="Tahoma" w:hAnsi="Tahoma" w:cs="Tahoma"/>
          <w:sz w:val="22"/>
        </w:rPr>
      </w:pPr>
    </w:p>
    <w:p w14:paraId="35EE931F" w14:textId="77777777" w:rsidR="005D4612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C8EEA8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31C7DD7D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5B88D0D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C08613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36E442B2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6DDF7E8D" w14:textId="77777777" w:rsidR="005D4612" w:rsidRPr="0064056A" w:rsidRDefault="005D4612" w:rsidP="005D461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206E9E6" w14:textId="77777777" w:rsidR="005D4612" w:rsidRPr="00EE3984" w:rsidRDefault="005D4612" w:rsidP="005D461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3E1756" w:rsidRDefault="006B4E30" w:rsidP="003E1756"/>
    <w:sectPr w:rsidR="006B4E30" w:rsidRPr="003E1756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4359" w14:textId="77777777" w:rsidR="003D09F0" w:rsidRDefault="003D09F0">
      <w:r>
        <w:separator/>
      </w:r>
    </w:p>
  </w:endnote>
  <w:endnote w:type="continuationSeparator" w:id="0">
    <w:p w14:paraId="0A3B71BE" w14:textId="77777777" w:rsidR="003D09F0" w:rsidRDefault="003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67C0" w14:textId="77777777" w:rsidR="003D09F0" w:rsidRDefault="003D09F0">
      <w:r>
        <w:separator/>
      </w:r>
    </w:p>
  </w:footnote>
  <w:footnote w:type="continuationSeparator" w:id="0">
    <w:p w14:paraId="4869AF06" w14:textId="77777777" w:rsidR="003D09F0" w:rsidRDefault="003D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245A"/>
    <w:rsid w:val="00017456"/>
    <w:rsid w:val="00022620"/>
    <w:rsid w:val="00025B57"/>
    <w:rsid w:val="00034E59"/>
    <w:rsid w:val="000500CE"/>
    <w:rsid w:val="00052F5D"/>
    <w:rsid w:val="00077291"/>
    <w:rsid w:val="00093FB5"/>
    <w:rsid w:val="000C393A"/>
    <w:rsid w:val="000D13C6"/>
    <w:rsid w:val="000D655A"/>
    <w:rsid w:val="001217FE"/>
    <w:rsid w:val="00174B06"/>
    <w:rsid w:val="00177FAF"/>
    <w:rsid w:val="00195E7B"/>
    <w:rsid w:val="00196834"/>
    <w:rsid w:val="00196980"/>
    <w:rsid w:val="001A3985"/>
    <w:rsid w:val="001B3ECA"/>
    <w:rsid w:val="001E7DD5"/>
    <w:rsid w:val="001F2AFC"/>
    <w:rsid w:val="0020059D"/>
    <w:rsid w:val="00213A3E"/>
    <w:rsid w:val="002908A6"/>
    <w:rsid w:val="002965FC"/>
    <w:rsid w:val="002A3A49"/>
    <w:rsid w:val="002B2E5E"/>
    <w:rsid w:val="002B3676"/>
    <w:rsid w:val="002D74BD"/>
    <w:rsid w:val="002E1CDD"/>
    <w:rsid w:val="002E6F67"/>
    <w:rsid w:val="002F53D2"/>
    <w:rsid w:val="00302303"/>
    <w:rsid w:val="00334EFE"/>
    <w:rsid w:val="00361EBF"/>
    <w:rsid w:val="0036533F"/>
    <w:rsid w:val="003B0AF6"/>
    <w:rsid w:val="003D09F0"/>
    <w:rsid w:val="003E1756"/>
    <w:rsid w:val="003F3CA6"/>
    <w:rsid w:val="0040272C"/>
    <w:rsid w:val="00417B14"/>
    <w:rsid w:val="00420CD3"/>
    <w:rsid w:val="004210B3"/>
    <w:rsid w:val="004226AB"/>
    <w:rsid w:val="00426C0D"/>
    <w:rsid w:val="004400D1"/>
    <w:rsid w:val="00440923"/>
    <w:rsid w:val="004873CD"/>
    <w:rsid w:val="004A1AF2"/>
    <w:rsid w:val="004A4D08"/>
    <w:rsid w:val="004B7E44"/>
    <w:rsid w:val="004D10CB"/>
    <w:rsid w:val="004D70FE"/>
    <w:rsid w:val="004F1FB0"/>
    <w:rsid w:val="005218BA"/>
    <w:rsid w:val="00536D3A"/>
    <w:rsid w:val="00541DFD"/>
    <w:rsid w:val="0056173E"/>
    <w:rsid w:val="005621B9"/>
    <w:rsid w:val="00567765"/>
    <w:rsid w:val="00595830"/>
    <w:rsid w:val="005A5328"/>
    <w:rsid w:val="005A53C8"/>
    <w:rsid w:val="005A66C3"/>
    <w:rsid w:val="005D05A3"/>
    <w:rsid w:val="005D4612"/>
    <w:rsid w:val="006018DC"/>
    <w:rsid w:val="006046A6"/>
    <w:rsid w:val="00615FA6"/>
    <w:rsid w:val="00624898"/>
    <w:rsid w:val="00643896"/>
    <w:rsid w:val="00670DBD"/>
    <w:rsid w:val="0069120A"/>
    <w:rsid w:val="00693206"/>
    <w:rsid w:val="006B010E"/>
    <w:rsid w:val="006B4E30"/>
    <w:rsid w:val="00733C16"/>
    <w:rsid w:val="007838B9"/>
    <w:rsid w:val="007A058B"/>
    <w:rsid w:val="007B7221"/>
    <w:rsid w:val="007C3C58"/>
    <w:rsid w:val="007C63A3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93E6C"/>
    <w:rsid w:val="0089652A"/>
    <w:rsid w:val="008B0E5B"/>
    <w:rsid w:val="008C0225"/>
    <w:rsid w:val="008C4F18"/>
    <w:rsid w:val="00901B37"/>
    <w:rsid w:val="00913ED0"/>
    <w:rsid w:val="00935FAB"/>
    <w:rsid w:val="009361D6"/>
    <w:rsid w:val="009379FB"/>
    <w:rsid w:val="00940BFE"/>
    <w:rsid w:val="0095248B"/>
    <w:rsid w:val="00957245"/>
    <w:rsid w:val="00982C56"/>
    <w:rsid w:val="009A3860"/>
    <w:rsid w:val="009A5961"/>
    <w:rsid w:val="009D63EC"/>
    <w:rsid w:val="009E1A0F"/>
    <w:rsid w:val="00A017CA"/>
    <w:rsid w:val="00A14632"/>
    <w:rsid w:val="00A25AD9"/>
    <w:rsid w:val="00A26A6B"/>
    <w:rsid w:val="00A31D2C"/>
    <w:rsid w:val="00A4156E"/>
    <w:rsid w:val="00A642DD"/>
    <w:rsid w:val="00A83225"/>
    <w:rsid w:val="00A8624D"/>
    <w:rsid w:val="00AB271D"/>
    <w:rsid w:val="00AB7C72"/>
    <w:rsid w:val="00AD1D7F"/>
    <w:rsid w:val="00AF102F"/>
    <w:rsid w:val="00AF494A"/>
    <w:rsid w:val="00AF50C0"/>
    <w:rsid w:val="00B10D3A"/>
    <w:rsid w:val="00B21342"/>
    <w:rsid w:val="00B258F6"/>
    <w:rsid w:val="00B43F03"/>
    <w:rsid w:val="00B51472"/>
    <w:rsid w:val="00B51A4A"/>
    <w:rsid w:val="00B66F0B"/>
    <w:rsid w:val="00B737C7"/>
    <w:rsid w:val="00B85BF3"/>
    <w:rsid w:val="00B9488B"/>
    <w:rsid w:val="00BA74DE"/>
    <w:rsid w:val="00BC099C"/>
    <w:rsid w:val="00BC662A"/>
    <w:rsid w:val="00BF2FEA"/>
    <w:rsid w:val="00C225E2"/>
    <w:rsid w:val="00C31D24"/>
    <w:rsid w:val="00C44EFC"/>
    <w:rsid w:val="00C77047"/>
    <w:rsid w:val="00C82359"/>
    <w:rsid w:val="00C9239E"/>
    <w:rsid w:val="00C941AC"/>
    <w:rsid w:val="00CA0616"/>
    <w:rsid w:val="00CA4BB0"/>
    <w:rsid w:val="00CC6E9E"/>
    <w:rsid w:val="00CE1AB8"/>
    <w:rsid w:val="00CF3BFC"/>
    <w:rsid w:val="00D02721"/>
    <w:rsid w:val="00D14003"/>
    <w:rsid w:val="00D1753E"/>
    <w:rsid w:val="00D358E5"/>
    <w:rsid w:val="00D44B01"/>
    <w:rsid w:val="00D77D15"/>
    <w:rsid w:val="00D83754"/>
    <w:rsid w:val="00D95015"/>
    <w:rsid w:val="00D973F1"/>
    <w:rsid w:val="00DA1627"/>
    <w:rsid w:val="00DA35C9"/>
    <w:rsid w:val="00DF393F"/>
    <w:rsid w:val="00E034A1"/>
    <w:rsid w:val="00E1206D"/>
    <w:rsid w:val="00E30753"/>
    <w:rsid w:val="00E51DE7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D1A12"/>
    <w:rsid w:val="00EE55EB"/>
    <w:rsid w:val="00F106D9"/>
    <w:rsid w:val="00F128FF"/>
    <w:rsid w:val="00F20E62"/>
    <w:rsid w:val="00F23CAE"/>
    <w:rsid w:val="00F41D48"/>
    <w:rsid w:val="00F6571E"/>
    <w:rsid w:val="00F861D5"/>
    <w:rsid w:val="00FC4FB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39</cp:revision>
  <cp:lastPrinted>2024-01-11T18:10:00Z</cp:lastPrinted>
  <dcterms:created xsi:type="dcterms:W3CDTF">2024-01-04T18:20:00Z</dcterms:created>
  <dcterms:modified xsi:type="dcterms:W3CDTF">2024-01-11T18:12:00Z</dcterms:modified>
</cp:coreProperties>
</file>