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EB5F" w14:textId="05B3FDBE" w:rsidR="00EF1990" w:rsidRPr="005A608F" w:rsidRDefault="00D47E89" w:rsidP="00F72FE3">
      <w:pPr>
        <w:spacing w:after="0" w:line="240" w:lineRule="auto"/>
        <w:ind w:right="-567"/>
        <w:jc w:val="both"/>
        <w:rPr>
          <w:rFonts w:ascii="Tahoma" w:hAnsi="Tahoma" w:cs="Tahoma"/>
          <w:b/>
        </w:rPr>
      </w:pPr>
      <w:r w:rsidRPr="005A608F">
        <w:rPr>
          <w:rFonts w:ascii="Tahoma" w:hAnsi="Tahoma" w:cs="Tahoma"/>
          <w:b/>
        </w:rPr>
        <w:t>D</w:t>
      </w:r>
      <w:r w:rsidR="005921A3" w:rsidRPr="005A608F">
        <w:rPr>
          <w:rFonts w:ascii="Tahoma" w:hAnsi="Tahoma" w:cs="Tahoma"/>
          <w:b/>
        </w:rPr>
        <w:t xml:space="preserve">ECRETO Nº </w:t>
      </w:r>
      <w:r w:rsidR="00724CE4">
        <w:rPr>
          <w:rFonts w:ascii="Tahoma" w:hAnsi="Tahoma" w:cs="Tahoma"/>
          <w:b/>
        </w:rPr>
        <w:t>302</w:t>
      </w:r>
      <w:r w:rsidR="005921A3" w:rsidRPr="005A608F">
        <w:rPr>
          <w:rFonts w:ascii="Tahoma" w:hAnsi="Tahoma" w:cs="Tahoma"/>
          <w:b/>
        </w:rPr>
        <w:t>/20</w:t>
      </w:r>
      <w:r w:rsidR="00E347BE" w:rsidRPr="005A608F">
        <w:rPr>
          <w:rFonts w:ascii="Tahoma" w:hAnsi="Tahoma" w:cs="Tahoma"/>
          <w:b/>
        </w:rPr>
        <w:t>2</w:t>
      </w:r>
      <w:r w:rsidR="00491FA1" w:rsidRPr="005A608F">
        <w:rPr>
          <w:rFonts w:ascii="Tahoma" w:hAnsi="Tahoma" w:cs="Tahoma"/>
          <w:b/>
        </w:rPr>
        <w:t>3</w:t>
      </w:r>
      <w:r w:rsidR="00364815" w:rsidRPr="005A608F">
        <w:rPr>
          <w:rFonts w:ascii="Tahoma" w:hAnsi="Tahoma" w:cs="Tahoma"/>
          <w:b/>
        </w:rPr>
        <w:t xml:space="preserve"> </w:t>
      </w:r>
      <w:r w:rsidR="00364815" w:rsidRPr="005A608F">
        <w:rPr>
          <w:rFonts w:ascii="Tahoma" w:hAnsi="Tahoma" w:cs="Tahoma"/>
        </w:rPr>
        <w:t xml:space="preserve">– </w:t>
      </w:r>
      <w:r w:rsidR="00364815" w:rsidRPr="005A608F">
        <w:rPr>
          <w:rFonts w:ascii="Tahoma" w:hAnsi="Tahoma" w:cs="Tahoma"/>
          <w:b/>
        </w:rPr>
        <w:t xml:space="preserve">DE </w:t>
      </w:r>
      <w:r w:rsidR="00724CE4">
        <w:rPr>
          <w:rFonts w:ascii="Tahoma" w:hAnsi="Tahoma" w:cs="Tahoma"/>
          <w:b/>
        </w:rPr>
        <w:t>31</w:t>
      </w:r>
      <w:r w:rsidR="001D34E5" w:rsidRPr="005A608F">
        <w:rPr>
          <w:rFonts w:ascii="Tahoma" w:hAnsi="Tahoma" w:cs="Tahoma"/>
          <w:b/>
        </w:rPr>
        <w:t xml:space="preserve"> </w:t>
      </w:r>
      <w:r w:rsidR="00491FA1" w:rsidRPr="005A608F">
        <w:rPr>
          <w:rFonts w:ascii="Tahoma" w:hAnsi="Tahoma" w:cs="Tahoma"/>
          <w:b/>
        </w:rPr>
        <w:t xml:space="preserve">DE </w:t>
      </w:r>
      <w:r w:rsidR="001D34E5" w:rsidRPr="005A608F">
        <w:rPr>
          <w:rFonts w:ascii="Tahoma" w:hAnsi="Tahoma" w:cs="Tahoma"/>
          <w:b/>
        </w:rPr>
        <w:t>JU</w:t>
      </w:r>
      <w:r w:rsidR="00724CE4">
        <w:rPr>
          <w:rFonts w:ascii="Tahoma" w:hAnsi="Tahoma" w:cs="Tahoma"/>
          <w:b/>
        </w:rPr>
        <w:t>L</w:t>
      </w:r>
      <w:r w:rsidR="001D34E5" w:rsidRPr="005A608F">
        <w:rPr>
          <w:rFonts w:ascii="Tahoma" w:hAnsi="Tahoma" w:cs="Tahoma"/>
          <w:b/>
        </w:rPr>
        <w:t xml:space="preserve">HO </w:t>
      </w:r>
      <w:r w:rsidR="00491FA1" w:rsidRPr="005A608F">
        <w:rPr>
          <w:rFonts w:ascii="Tahoma" w:hAnsi="Tahoma" w:cs="Tahoma"/>
          <w:b/>
        </w:rPr>
        <w:t>DE 2023</w:t>
      </w:r>
      <w:r w:rsidR="00364815" w:rsidRPr="005A608F">
        <w:rPr>
          <w:rFonts w:ascii="Tahoma" w:hAnsi="Tahoma" w:cs="Tahoma"/>
          <w:b/>
        </w:rPr>
        <w:t>.</w:t>
      </w:r>
    </w:p>
    <w:p w14:paraId="26F68330" w14:textId="65CD995D" w:rsidR="00782AA6" w:rsidRPr="005A608F" w:rsidRDefault="00782AA6" w:rsidP="00782AA6">
      <w:pPr>
        <w:spacing w:after="0" w:line="240" w:lineRule="auto"/>
        <w:ind w:right="-567"/>
        <w:jc w:val="both"/>
        <w:rPr>
          <w:rFonts w:ascii="Tahoma" w:hAnsi="Tahoma" w:cs="Tahoma"/>
        </w:rPr>
      </w:pPr>
    </w:p>
    <w:p w14:paraId="31CDCED6" w14:textId="2EE00086" w:rsidR="000B616F" w:rsidRDefault="000B616F" w:rsidP="00F72FE3">
      <w:pPr>
        <w:spacing w:after="0" w:line="240" w:lineRule="auto"/>
        <w:ind w:right="-567" w:firstLine="709"/>
        <w:jc w:val="both"/>
        <w:rPr>
          <w:rFonts w:ascii="Tahoma" w:hAnsi="Tahoma" w:cs="Tahoma"/>
        </w:rPr>
      </w:pPr>
    </w:p>
    <w:p w14:paraId="6280E899" w14:textId="77777777" w:rsidR="00701D32" w:rsidRPr="005A608F" w:rsidRDefault="00701D32" w:rsidP="00F72FE3">
      <w:pPr>
        <w:spacing w:after="0" w:line="240" w:lineRule="auto"/>
        <w:ind w:right="-567" w:firstLine="709"/>
        <w:jc w:val="both"/>
        <w:rPr>
          <w:rFonts w:ascii="Tahoma" w:hAnsi="Tahoma" w:cs="Tahoma"/>
        </w:rPr>
      </w:pPr>
    </w:p>
    <w:p w14:paraId="2DD8AB5D" w14:textId="3689315D" w:rsidR="005921A3" w:rsidRPr="005A608F" w:rsidRDefault="00E5388E" w:rsidP="00E5388E">
      <w:pPr>
        <w:autoSpaceDE w:val="0"/>
        <w:autoSpaceDN w:val="0"/>
        <w:adjustRightInd w:val="0"/>
        <w:spacing w:after="0" w:line="240" w:lineRule="auto"/>
        <w:ind w:left="2977"/>
        <w:jc w:val="both"/>
        <w:rPr>
          <w:rFonts w:ascii="Tahoma" w:hAnsi="Tahoma" w:cs="Tahoma"/>
          <w:b/>
          <w:bCs/>
        </w:rPr>
      </w:pPr>
      <w:r w:rsidRPr="005A608F">
        <w:rPr>
          <w:rFonts w:ascii="Tahoma" w:hAnsi="Tahoma" w:cs="Tahoma"/>
          <w:b/>
          <w:bCs/>
        </w:rPr>
        <w:t>DISPÕE SOBRE OS PROCEDIMENTOS RELATIVOS A RETENÇÃO DO IMPOSTO DE RENDA RETIDO NA FONTE (IRPJ) ADOTA E RECEPCIONA A INTERPRETAÇÃO CONFORME A CONSTITUIÇÃO FEDERAL DO ART. 64 DA LEI FEDERAL Nº 9.430, DE 27 DE DEZEMBRO DE 1996 E TAMBÉM, DA INSTRUÇÃO NORMATIVA DA RECEITA FEDERAL DO BRASIL Nº 1.234, DE 11 DE JANEIRO DE 2012 E OFICIO TCE/DGE/N° 8.483 DE 13 DE JUNHO DE 2023, PARA FINS DE IRRF NAS CONTRATAÇÕES DE BENS E NA PRESTAÇÃO DE SERVIÇOS REALIZAD</w:t>
      </w:r>
      <w:r w:rsidR="0099498C" w:rsidRPr="005A608F">
        <w:rPr>
          <w:rFonts w:ascii="Tahoma" w:hAnsi="Tahoma" w:cs="Tahoma"/>
          <w:b/>
          <w:bCs/>
        </w:rPr>
        <w:t>O</w:t>
      </w:r>
      <w:r w:rsidRPr="005A608F">
        <w:rPr>
          <w:rFonts w:ascii="Tahoma" w:hAnsi="Tahoma" w:cs="Tahoma"/>
          <w:b/>
          <w:bCs/>
        </w:rPr>
        <w:t>S</w:t>
      </w:r>
      <w:r w:rsidR="0099498C" w:rsidRPr="005A608F">
        <w:rPr>
          <w:rFonts w:ascii="Tahoma" w:hAnsi="Tahoma" w:cs="Tahoma"/>
          <w:b/>
          <w:bCs/>
        </w:rPr>
        <w:t xml:space="preserve"> POR PESSOAS JURIDICAS</w:t>
      </w:r>
      <w:r w:rsidRPr="005A608F">
        <w:rPr>
          <w:rFonts w:ascii="Tahoma" w:hAnsi="Tahoma" w:cs="Tahoma"/>
          <w:b/>
          <w:bCs/>
        </w:rPr>
        <w:t xml:space="preserve"> </w:t>
      </w:r>
      <w:r w:rsidR="0099498C" w:rsidRPr="005A608F">
        <w:rPr>
          <w:rFonts w:ascii="Tahoma" w:hAnsi="Tahoma" w:cs="Tahoma"/>
          <w:b/>
          <w:bCs/>
        </w:rPr>
        <w:t>PARA A ADMINISTRÇÃO PÚBLICA DIRETA</w:t>
      </w:r>
      <w:r w:rsidR="005A608F" w:rsidRPr="005A608F">
        <w:rPr>
          <w:rFonts w:ascii="Tahoma" w:hAnsi="Tahoma" w:cs="Tahoma"/>
          <w:b/>
          <w:bCs/>
        </w:rPr>
        <w:t xml:space="preserve"> E FUNDOS </w:t>
      </w:r>
      <w:r w:rsidR="0099498C" w:rsidRPr="005A608F">
        <w:rPr>
          <w:rFonts w:ascii="Tahoma" w:hAnsi="Tahoma" w:cs="Tahoma"/>
          <w:b/>
          <w:bCs/>
        </w:rPr>
        <w:t>DO MUNICIPIO</w:t>
      </w:r>
      <w:r w:rsidRPr="005A608F">
        <w:rPr>
          <w:rFonts w:ascii="Tahoma" w:hAnsi="Tahoma" w:cs="Tahoma"/>
          <w:b/>
          <w:bCs/>
        </w:rPr>
        <w:t xml:space="preserve"> QUILOMBO/SC.</w:t>
      </w:r>
    </w:p>
    <w:p w14:paraId="16D235A3" w14:textId="02E3B3CD" w:rsidR="000467BE" w:rsidRPr="005A608F" w:rsidRDefault="000467BE" w:rsidP="00F72FE3">
      <w:pPr>
        <w:spacing w:after="0" w:line="240" w:lineRule="auto"/>
        <w:ind w:right="-567"/>
        <w:jc w:val="both"/>
        <w:rPr>
          <w:rFonts w:ascii="Tahoma" w:hAnsi="Tahoma" w:cs="Tahoma"/>
        </w:rPr>
      </w:pPr>
    </w:p>
    <w:p w14:paraId="5A939142" w14:textId="06682035" w:rsidR="00733DE8" w:rsidRDefault="00733DE8" w:rsidP="00F72FE3">
      <w:pPr>
        <w:spacing w:after="0" w:line="240" w:lineRule="auto"/>
        <w:ind w:right="-567"/>
        <w:jc w:val="both"/>
        <w:rPr>
          <w:rFonts w:ascii="Tahoma" w:hAnsi="Tahoma" w:cs="Tahoma"/>
        </w:rPr>
      </w:pPr>
    </w:p>
    <w:p w14:paraId="63A856EF" w14:textId="1E1F5514" w:rsidR="00701D32" w:rsidRDefault="00701D32" w:rsidP="00F72FE3">
      <w:pPr>
        <w:spacing w:after="0" w:line="240" w:lineRule="auto"/>
        <w:ind w:right="-567"/>
        <w:jc w:val="both"/>
        <w:rPr>
          <w:rFonts w:ascii="Tahoma" w:hAnsi="Tahoma" w:cs="Tahoma"/>
        </w:rPr>
      </w:pPr>
    </w:p>
    <w:p w14:paraId="7694C4FF" w14:textId="19605927" w:rsidR="000067B0" w:rsidRPr="005A608F" w:rsidRDefault="00F52CF2" w:rsidP="0099498C">
      <w:pPr>
        <w:spacing w:after="0" w:line="240" w:lineRule="auto"/>
        <w:ind w:right="-1" w:firstLine="709"/>
        <w:jc w:val="both"/>
        <w:rPr>
          <w:rFonts w:ascii="Tahoma" w:hAnsi="Tahoma" w:cs="Tahoma"/>
        </w:rPr>
      </w:pPr>
      <w:r w:rsidRPr="005A608F">
        <w:rPr>
          <w:rFonts w:ascii="Tahoma" w:hAnsi="Tahoma" w:cs="Tahoma"/>
        </w:rPr>
        <w:t xml:space="preserve">O Prefeito </w:t>
      </w:r>
      <w:r w:rsidR="00C00080" w:rsidRPr="005A608F">
        <w:rPr>
          <w:rFonts w:ascii="Tahoma" w:hAnsi="Tahoma" w:cs="Tahoma"/>
        </w:rPr>
        <w:t>M</w:t>
      </w:r>
      <w:r w:rsidRPr="005A608F">
        <w:rPr>
          <w:rFonts w:ascii="Tahoma" w:hAnsi="Tahoma" w:cs="Tahoma"/>
        </w:rPr>
        <w:t xml:space="preserve">unicipal de Quilombo, Estado de Santa Catarina, no uso de suas atribuições que lhe confere o Inciso IX, do Art. </w:t>
      </w:r>
      <w:r w:rsidR="00395F7E" w:rsidRPr="005A608F">
        <w:rPr>
          <w:rFonts w:ascii="Tahoma" w:hAnsi="Tahoma" w:cs="Tahoma"/>
        </w:rPr>
        <w:t>65 da Lei Orgânica do Municipal</w:t>
      </w:r>
      <w:r w:rsidR="000F1C70" w:rsidRPr="005A608F">
        <w:rPr>
          <w:rFonts w:ascii="Tahoma" w:hAnsi="Tahoma" w:cs="Tahoma"/>
        </w:rPr>
        <w:t>;</w:t>
      </w:r>
    </w:p>
    <w:p w14:paraId="19B4F64E" w14:textId="77777777" w:rsidR="000467BE" w:rsidRPr="005A608F" w:rsidRDefault="000467BE" w:rsidP="00F72FE3">
      <w:pPr>
        <w:spacing w:after="0" w:line="240" w:lineRule="auto"/>
        <w:ind w:right="-567" w:firstLine="709"/>
        <w:jc w:val="both"/>
        <w:rPr>
          <w:rFonts w:ascii="Tahoma" w:hAnsi="Tahoma" w:cs="Tahoma"/>
        </w:rPr>
      </w:pPr>
    </w:p>
    <w:p w14:paraId="134122C2" w14:textId="140D3F50" w:rsidR="000467BE" w:rsidRPr="005A608F" w:rsidRDefault="000467BE" w:rsidP="0099498C">
      <w:pPr>
        <w:autoSpaceDE w:val="0"/>
        <w:autoSpaceDN w:val="0"/>
        <w:adjustRightInd w:val="0"/>
        <w:spacing w:after="0" w:line="240" w:lineRule="auto"/>
        <w:jc w:val="both"/>
        <w:rPr>
          <w:rFonts w:ascii="Tahoma" w:hAnsi="Tahoma" w:cs="Tahoma"/>
        </w:rPr>
      </w:pPr>
      <w:r w:rsidRPr="005A608F">
        <w:rPr>
          <w:rFonts w:ascii="Tahoma" w:hAnsi="Tahoma" w:cs="Tahoma"/>
          <w:b/>
          <w:bCs/>
        </w:rPr>
        <w:t>Considerando</w:t>
      </w:r>
      <w:r w:rsidRPr="005A608F">
        <w:rPr>
          <w:rFonts w:ascii="Tahoma" w:hAnsi="Tahoma" w:cs="Tahoma"/>
        </w:rPr>
        <w:t xml:space="preserve"> o </w:t>
      </w:r>
      <w:r w:rsidR="0099498C" w:rsidRPr="005A608F">
        <w:rPr>
          <w:rFonts w:ascii="Tahoma" w:hAnsi="Tahoma" w:cs="Tahoma"/>
        </w:rPr>
        <w:t>art. 158, I da Constituição de 88 determina que pertence aos Municípios o produto da arrecadação do imposto da União sobre renda e proventos de qualquer natureza, incidente na fonte, sobre os rendimentos pagos, a qualquer título pela administração diret</w:t>
      </w:r>
      <w:r w:rsidR="005A608F" w:rsidRPr="005A608F">
        <w:rPr>
          <w:rFonts w:ascii="Tahoma" w:hAnsi="Tahoma" w:cs="Tahoma"/>
        </w:rPr>
        <w:t>a e fundos</w:t>
      </w:r>
      <w:r w:rsidR="0099498C" w:rsidRPr="005A608F">
        <w:rPr>
          <w:rFonts w:ascii="Tahoma" w:hAnsi="Tahoma" w:cs="Tahoma"/>
        </w:rPr>
        <w:t xml:space="preserve"> municipais;</w:t>
      </w:r>
    </w:p>
    <w:p w14:paraId="5859DEAA" w14:textId="77777777" w:rsidR="0099498C" w:rsidRPr="005A608F" w:rsidRDefault="0099498C" w:rsidP="0099498C">
      <w:pPr>
        <w:autoSpaceDE w:val="0"/>
        <w:autoSpaceDN w:val="0"/>
        <w:adjustRightInd w:val="0"/>
        <w:spacing w:after="0" w:line="240" w:lineRule="auto"/>
        <w:jc w:val="both"/>
        <w:rPr>
          <w:rFonts w:ascii="Tahoma" w:hAnsi="Tahoma" w:cs="Tahoma"/>
        </w:rPr>
      </w:pPr>
    </w:p>
    <w:p w14:paraId="46804876" w14:textId="11AD98D6" w:rsidR="000467BE" w:rsidRPr="005A608F" w:rsidRDefault="000467BE" w:rsidP="0099498C">
      <w:pPr>
        <w:autoSpaceDE w:val="0"/>
        <w:autoSpaceDN w:val="0"/>
        <w:adjustRightInd w:val="0"/>
        <w:spacing w:after="0" w:line="240" w:lineRule="auto"/>
        <w:jc w:val="both"/>
        <w:rPr>
          <w:rFonts w:ascii="Tahoma" w:hAnsi="Tahoma" w:cs="Tahoma"/>
        </w:rPr>
      </w:pPr>
      <w:r w:rsidRPr="005A608F">
        <w:rPr>
          <w:rFonts w:ascii="Tahoma" w:hAnsi="Tahoma" w:cs="Tahoma"/>
          <w:b/>
          <w:bCs/>
        </w:rPr>
        <w:t>Considerando</w:t>
      </w:r>
      <w:r w:rsidRPr="005A608F">
        <w:rPr>
          <w:rFonts w:ascii="Tahoma" w:hAnsi="Tahoma" w:cs="Tahoma"/>
        </w:rPr>
        <w:t xml:space="preserve"> </w:t>
      </w:r>
      <w:r w:rsidR="0099498C" w:rsidRPr="005A608F">
        <w:rPr>
          <w:rFonts w:ascii="Tahoma" w:hAnsi="Tahoma" w:cs="Tahoma"/>
        </w:rPr>
        <w:t>a tese fixada no Recurso Extraordinário nº 1.293.453/RS, Tema nº 1130, publicado em 21 de outubro de 2021, da Repercussão Geral que deu interpretação conforme à</w:t>
      </w:r>
      <w:r w:rsidR="00942D0C" w:rsidRPr="005A608F">
        <w:rPr>
          <w:rFonts w:ascii="Tahoma" w:hAnsi="Tahoma" w:cs="Tahoma"/>
        </w:rPr>
        <w:t xml:space="preserve"> </w:t>
      </w:r>
      <w:r w:rsidR="0099498C" w:rsidRPr="005A608F">
        <w:rPr>
          <w:rFonts w:ascii="Tahoma" w:hAnsi="Tahoma" w:cs="Tahoma"/>
        </w:rPr>
        <w:t>Constituição Federal do art. 64 da Lei Federal nº 9.430, de 1996 para atribuir aos Municípios a titularidade das receitas arrecadadas a título de imposto de renda retido na fonte incidente sobre valores pagos por eles, suas autarquias e fundações a pessoas físicas ou jurídicas contratadas para a prestação de bens ou serviços e possibilitar a utilização do mesmo regramento aplicado pela União;</w:t>
      </w:r>
    </w:p>
    <w:p w14:paraId="11D61191" w14:textId="77777777" w:rsidR="0099498C" w:rsidRPr="005A608F" w:rsidRDefault="0099498C" w:rsidP="0099498C">
      <w:pPr>
        <w:autoSpaceDE w:val="0"/>
        <w:autoSpaceDN w:val="0"/>
        <w:adjustRightInd w:val="0"/>
        <w:spacing w:after="0" w:line="240" w:lineRule="auto"/>
        <w:jc w:val="both"/>
        <w:rPr>
          <w:rFonts w:ascii="Tahoma" w:hAnsi="Tahoma" w:cs="Tahoma"/>
        </w:rPr>
      </w:pPr>
    </w:p>
    <w:p w14:paraId="0CC3B898" w14:textId="77777777" w:rsidR="0099498C" w:rsidRPr="005A608F" w:rsidRDefault="005D2B91" w:rsidP="0099498C">
      <w:pPr>
        <w:autoSpaceDE w:val="0"/>
        <w:autoSpaceDN w:val="0"/>
        <w:adjustRightInd w:val="0"/>
        <w:spacing w:after="0" w:line="240" w:lineRule="auto"/>
        <w:jc w:val="both"/>
        <w:rPr>
          <w:rFonts w:ascii="Tahoma" w:hAnsi="Tahoma" w:cs="Tahoma"/>
        </w:rPr>
      </w:pPr>
      <w:r w:rsidRPr="005A608F">
        <w:rPr>
          <w:rFonts w:ascii="Tahoma" w:hAnsi="Tahoma" w:cs="Tahoma"/>
          <w:b/>
          <w:bCs/>
        </w:rPr>
        <w:t xml:space="preserve">Considerando </w:t>
      </w:r>
      <w:r w:rsidR="0099498C" w:rsidRPr="005A608F">
        <w:rPr>
          <w:rFonts w:ascii="Tahoma" w:hAnsi="Tahoma" w:cs="Tahoma"/>
        </w:rPr>
        <w:t xml:space="preserve">que as regras aplicadas pela União, na retenção do IRRF nos pagamentos efetuados a pessoas jurídicas, estão regulamentadas na instrução normativa 1.234, de 12 de dezembro de 2012, e suas alterações, da Receita Federal do Brasil; </w:t>
      </w:r>
    </w:p>
    <w:p w14:paraId="0A5C294D" w14:textId="77777777" w:rsidR="0099498C" w:rsidRPr="005A608F" w:rsidRDefault="0099498C" w:rsidP="0099498C">
      <w:pPr>
        <w:autoSpaceDE w:val="0"/>
        <w:autoSpaceDN w:val="0"/>
        <w:adjustRightInd w:val="0"/>
        <w:spacing w:after="0" w:line="240" w:lineRule="auto"/>
        <w:jc w:val="both"/>
        <w:rPr>
          <w:rFonts w:ascii="Tahoma" w:hAnsi="Tahoma" w:cs="Tahoma"/>
        </w:rPr>
      </w:pPr>
    </w:p>
    <w:p w14:paraId="445804E6" w14:textId="64CD8854" w:rsidR="00F72FE3" w:rsidRPr="005A608F" w:rsidRDefault="00F72FE3" w:rsidP="0099498C">
      <w:pPr>
        <w:autoSpaceDE w:val="0"/>
        <w:autoSpaceDN w:val="0"/>
        <w:adjustRightInd w:val="0"/>
        <w:spacing w:after="0" w:line="240" w:lineRule="auto"/>
        <w:jc w:val="both"/>
        <w:rPr>
          <w:rFonts w:ascii="Tahoma" w:hAnsi="Tahoma" w:cs="Tahoma"/>
        </w:rPr>
      </w:pPr>
      <w:r w:rsidRPr="005A608F">
        <w:rPr>
          <w:rFonts w:ascii="Tahoma" w:hAnsi="Tahoma" w:cs="Tahoma"/>
          <w:b/>
          <w:bCs/>
        </w:rPr>
        <w:t xml:space="preserve">Considerando </w:t>
      </w:r>
      <w:r w:rsidR="0099498C" w:rsidRPr="005A608F">
        <w:rPr>
          <w:rFonts w:ascii="Tahoma" w:hAnsi="Tahoma" w:cs="Tahoma"/>
        </w:rPr>
        <w:t xml:space="preserve">que a receita com o IRRF nos pagamentos efetuados a pessoas jurídicas pela administração direta, pelas autarquias e pelas fundações do Município de </w:t>
      </w:r>
      <w:r w:rsidR="00022048" w:rsidRPr="005A608F">
        <w:rPr>
          <w:rFonts w:ascii="Tahoma" w:hAnsi="Tahoma" w:cs="Tahoma"/>
        </w:rPr>
        <w:t xml:space="preserve">Quilombo </w:t>
      </w:r>
      <w:r w:rsidR="0099498C" w:rsidRPr="005A608F">
        <w:rPr>
          <w:rFonts w:ascii="Tahoma" w:hAnsi="Tahoma" w:cs="Tahoma"/>
        </w:rPr>
        <w:t>pertencem ao Município e que a responsabilidade na gestão fiscal, de acordo com a Lei de</w:t>
      </w:r>
      <w:r w:rsidR="00022048" w:rsidRPr="005A608F">
        <w:rPr>
          <w:rFonts w:ascii="Tahoma" w:hAnsi="Tahoma" w:cs="Tahoma"/>
        </w:rPr>
        <w:t xml:space="preserve"> </w:t>
      </w:r>
      <w:r w:rsidR="0099498C" w:rsidRPr="005A608F">
        <w:rPr>
          <w:rFonts w:ascii="Tahoma" w:hAnsi="Tahoma" w:cs="Tahoma"/>
        </w:rPr>
        <w:t>Responsabilidade Fiscal, enseja ação planejada e transparente, em que se previnam os riscos</w:t>
      </w:r>
      <w:r w:rsidR="00022048" w:rsidRPr="005A608F">
        <w:rPr>
          <w:rFonts w:ascii="Tahoma" w:hAnsi="Tahoma" w:cs="Tahoma"/>
        </w:rPr>
        <w:t xml:space="preserve"> </w:t>
      </w:r>
      <w:r w:rsidR="0099498C" w:rsidRPr="005A608F">
        <w:rPr>
          <w:rFonts w:ascii="Tahoma" w:hAnsi="Tahoma" w:cs="Tahoma"/>
        </w:rPr>
        <w:t>e se corrijam os desvios capazes de afetar o equilíbrio das contas públicas</w:t>
      </w:r>
      <w:r w:rsidR="00724CE4">
        <w:rPr>
          <w:rFonts w:ascii="Tahoma" w:hAnsi="Tahoma" w:cs="Tahoma"/>
        </w:rPr>
        <w:t>;</w:t>
      </w:r>
    </w:p>
    <w:p w14:paraId="605AC572" w14:textId="77777777" w:rsidR="00022048" w:rsidRPr="005A608F" w:rsidRDefault="00022048" w:rsidP="0099498C">
      <w:pPr>
        <w:autoSpaceDE w:val="0"/>
        <w:autoSpaceDN w:val="0"/>
        <w:adjustRightInd w:val="0"/>
        <w:spacing w:after="0" w:line="240" w:lineRule="auto"/>
        <w:jc w:val="both"/>
        <w:rPr>
          <w:rFonts w:ascii="Tahoma" w:hAnsi="Tahoma" w:cs="Tahoma"/>
          <w:b/>
          <w:bCs/>
        </w:rPr>
      </w:pPr>
    </w:p>
    <w:p w14:paraId="2E820609" w14:textId="157DBEB4" w:rsidR="00733DE8" w:rsidRPr="005A608F" w:rsidRDefault="005D2B91" w:rsidP="005A608F">
      <w:pPr>
        <w:pStyle w:val="Default"/>
        <w:jc w:val="both"/>
        <w:rPr>
          <w:rFonts w:ascii="Tahoma" w:hAnsi="Tahoma" w:cs="Tahoma"/>
          <w:color w:val="auto"/>
          <w:sz w:val="22"/>
          <w:szCs w:val="22"/>
        </w:rPr>
      </w:pPr>
      <w:r w:rsidRPr="005A608F">
        <w:rPr>
          <w:rFonts w:ascii="Tahoma" w:hAnsi="Tahoma" w:cs="Tahoma"/>
          <w:b/>
          <w:bCs/>
          <w:color w:val="auto"/>
          <w:sz w:val="22"/>
          <w:szCs w:val="22"/>
        </w:rPr>
        <w:t>Considerando</w:t>
      </w:r>
      <w:r w:rsidRPr="005A608F">
        <w:rPr>
          <w:rFonts w:ascii="Tahoma" w:hAnsi="Tahoma" w:cs="Tahoma"/>
          <w:color w:val="auto"/>
          <w:sz w:val="22"/>
          <w:szCs w:val="22"/>
        </w:rPr>
        <w:t xml:space="preserve"> </w:t>
      </w:r>
      <w:r w:rsidR="00022048" w:rsidRPr="005A608F">
        <w:rPr>
          <w:rFonts w:ascii="Tahoma" w:hAnsi="Tahoma" w:cs="Tahoma"/>
          <w:color w:val="auto"/>
          <w:sz w:val="22"/>
          <w:szCs w:val="22"/>
        </w:rPr>
        <w:t>o Ofício TCE/DGE/n° 8.483 de 13 de junho de 2023 que alerta aos Gestores da Administração Direta, de Autarquias e de Fundações dos Municípios acerca da Decisão do Supremo Tribunal Federal (STF) no julgamento do Recurso Extraordinário 1293453/RS.</w:t>
      </w:r>
    </w:p>
    <w:p w14:paraId="4540B8F2" w14:textId="54AC0F11" w:rsidR="00E347BE" w:rsidRPr="005A608F" w:rsidRDefault="004734D2" w:rsidP="00F72FE3">
      <w:pPr>
        <w:spacing w:after="0" w:line="240" w:lineRule="auto"/>
        <w:ind w:right="-568" w:firstLine="709"/>
        <w:jc w:val="both"/>
        <w:rPr>
          <w:rFonts w:ascii="Tahoma" w:hAnsi="Tahoma" w:cs="Tahoma"/>
          <w:b/>
        </w:rPr>
      </w:pPr>
      <w:r w:rsidRPr="005A608F">
        <w:rPr>
          <w:rFonts w:ascii="Tahoma" w:hAnsi="Tahoma" w:cs="Tahoma"/>
          <w:b/>
        </w:rPr>
        <w:lastRenderedPageBreak/>
        <w:t>DECRETA:</w:t>
      </w:r>
    </w:p>
    <w:p w14:paraId="716304D4" w14:textId="77777777" w:rsidR="000467BE" w:rsidRPr="005A608F" w:rsidRDefault="000467BE" w:rsidP="00F72FE3">
      <w:pPr>
        <w:spacing w:after="0" w:line="240" w:lineRule="auto"/>
        <w:ind w:right="-568" w:firstLine="709"/>
        <w:jc w:val="both"/>
        <w:rPr>
          <w:rFonts w:ascii="Tahoma" w:hAnsi="Tahoma" w:cs="Tahoma"/>
          <w:b/>
        </w:rPr>
      </w:pPr>
    </w:p>
    <w:p w14:paraId="4757F530" w14:textId="7E3548E7" w:rsidR="000B616F" w:rsidRPr="005A608F" w:rsidRDefault="004734D2" w:rsidP="00690DA3">
      <w:pPr>
        <w:autoSpaceDE w:val="0"/>
        <w:autoSpaceDN w:val="0"/>
        <w:adjustRightInd w:val="0"/>
        <w:spacing w:after="0" w:line="240" w:lineRule="auto"/>
        <w:ind w:firstLine="708"/>
        <w:jc w:val="both"/>
        <w:rPr>
          <w:rFonts w:ascii="Tahoma" w:hAnsi="Tahoma" w:cs="Tahoma"/>
        </w:rPr>
      </w:pPr>
      <w:r w:rsidRPr="005A608F">
        <w:rPr>
          <w:rFonts w:ascii="Tahoma" w:hAnsi="Tahoma" w:cs="Tahoma"/>
          <w:b/>
        </w:rPr>
        <w:t>Art.</w:t>
      </w:r>
      <w:r w:rsidR="005066FB" w:rsidRPr="005A608F">
        <w:rPr>
          <w:rFonts w:ascii="Tahoma" w:hAnsi="Tahoma" w:cs="Tahoma"/>
          <w:b/>
        </w:rPr>
        <w:t xml:space="preserve"> </w:t>
      </w:r>
      <w:r w:rsidRPr="005A608F">
        <w:rPr>
          <w:rFonts w:ascii="Tahoma" w:hAnsi="Tahoma" w:cs="Tahoma"/>
          <w:b/>
        </w:rPr>
        <w:t>1º</w:t>
      </w:r>
      <w:r w:rsidRPr="005A608F">
        <w:rPr>
          <w:rFonts w:ascii="Tahoma" w:hAnsi="Tahoma" w:cs="Tahoma"/>
        </w:rPr>
        <w:t xml:space="preserve"> </w:t>
      </w:r>
      <w:r w:rsidR="00022048" w:rsidRPr="005A608F">
        <w:rPr>
          <w:rFonts w:ascii="Tahoma" w:hAnsi="Tahoma" w:cs="Tahoma"/>
        </w:rPr>
        <w:t>Para fins do Imposto de Renda Retido na Fonte de que trata o art. 158, inciso I, da Constituição da República, o Município, em todas as suas contratações com pessoas jurídicas, deverá ser observar o disposto no art. 64 da Lei Federal nº 9.430/96 e na Instrução Normativa da Receita Federal do Brasil nº 1.234/12, e suas respectivas alterações.</w:t>
      </w:r>
    </w:p>
    <w:p w14:paraId="4814AAC3" w14:textId="77777777" w:rsidR="00D9496F" w:rsidRPr="005A608F" w:rsidRDefault="00D9496F" w:rsidP="00F72FE3">
      <w:pPr>
        <w:spacing w:after="0" w:line="240" w:lineRule="auto"/>
        <w:ind w:right="-568"/>
        <w:jc w:val="both"/>
        <w:rPr>
          <w:rFonts w:ascii="Tahoma" w:hAnsi="Tahoma" w:cs="Tahoma"/>
          <w:b/>
        </w:rPr>
      </w:pPr>
    </w:p>
    <w:p w14:paraId="5DA791BF" w14:textId="6EDFF477" w:rsidR="00E347BE" w:rsidRPr="005A608F" w:rsidRDefault="00A96C26" w:rsidP="00690DA3">
      <w:pPr>
        <w:autoSpaceDE w:val="0"/>
        <w:autoSpaceDN w:val="0"/>
        <w:adjustRightInd w:val="0"/>
        <w:spacing w:after="0" w:line="240" w:lineRule="auto"/>
        <w:ind w:firstLine="708"/>
        <w:jc w:val="both"/>
        <w:rPr>
          <w:rFonts w:ascii="Tahoma" w:hAnsi="Tahoma" w:cs="Tahoma"/>
        </w:rPr>
      </w:pPr>
      <w:r w:rsidRPr="005A608F">
        <w:rPr>
          <w:rFonts w:ascii="Tahoma" w:hAnsi="Tahoma" w:cs="Tahoma"/>
          <w:b/>
        </w:rPr>
        <w:t>Art. 2°</w:t>
      </w:r>
      <w:r w:rsidRPr="005A608F">
        <w:rPr>
          <w:rFonts w:ascii="Tahoma" w:hAnsi="Tahoma" w:cs="Tahoma"/>
        </w:rPr>
        <w:t xml:space="preserve"> </w:t>
      </w:r>
      <w:r w:rsidR="00022048" w:rsidRPr="005A608F">
        <w:rPr>
          <w:rFonts w:ascii="Tahoma" w:hAnsi="Tahoma" w:cs="Tahoma"/>
        </w:rPr>
        <w:t>Os órgãos públicos da Administração Pública Direta, as Autarquias e as Fundações do</w:t>
      </w:r>
      <w:r w:rsidR="00690DA3" w:rsidRPr="005A608F">
        <w:rPr>
          <w:rFonts w:ascii="Tahoma" w:hAnsi="Tahoma" w:cs="Tahoma"/>
        </w:rPr>
        <w:t xml:space="preserve"> </w:t>
      </w:r>
      <w:r w:rsidR="00022048" w:rsidRPr="005A608F">
        <w:rPr>
          <w:rFonts w:ascii="Tahoma" w:hAnsi="Tahoma" w:cs="Tahoma"/>
        </w:rPr>
        <w:t xml:space="preserve">Município, ficam obrigados, a partir da competência de </w:t>
      </w:r>
      <w:r w:rsidR="00690DA3" w:rsidRPr="005A608F">
        <w:rPr>
          <w:rFonts w:ascii="Tahoma" w:hAnsi="Tahoma" w:cs="Tahoma"/>
        </w:rPr>
        <w:t>julho</w:t>
      </w:r>
      <w:r w:rsidR="00022048" w:rsidRPr="005A608F">
        <w:rPr>
          <w:rFonts w:ascii="Tahoma" w:hAnsi="Tahoma" w:cs="Tahoma"/>
        </w:rPr>
        <w:t xml:space="preserve"> de 2023, a efetuar as</w:t>
      </w:r>
      <w:r w:rsidR="00690DA3" w:rsidRPr="005A608F">
        <w:rPr>
          <w:rFonts w:ascii="Tahoma" w:hAnsi="Tahoma" w:cs="Tahoma"/>
        </w:rPr>
        <w:t xml:space="preserve"> </w:t>
      </w:r>
      <w:r w:rsidR="00022048" w:rsidRPr="005A608F">
        <w:rPr>
          <w:rFonts w:ascii="Tahoma" w:hAnsi="Tahoma" w:cs="Tahoma"/>
        </w:rPr>
        <w:t>retenções na fonte do IR sobre os pagamentos que efetuarem a pessoas jurídicas pelo</w:t>
      </w:r>
      <w:r w:rsidR="00690DA3" w:rsidRPr="005A608F">
        <w:rPr>
          <w:rFonts w:ascii="Tahoma" w:hAnsi="Tahoma" w:cs="Tahoma"/>
        </w:rPr>
        <w:t xml:space="preserve"> </w:t>
      </w:r>
      <w:r w:rsidR="00022048" w:rsidRPr="005A608F">
        <w:rPr>
          <w:rFonts w:ascii="Tahoma" w:hAnsi="Tahoma" w:cs="Tahoma"/>
        </w:rPr>
        <w:t>fornecimento de</w:t>
      </w:r>
      <w:r w:rsidR="00690DA3" w:rsidRPr="005A608F">
        <w:rPr>
          <w:rFonts w:ascii="Tahoma" w:hAnsi="Tahoma" w:cs="Tahoma"/>
        </w:rPr>
        <w:t xml:space="preserve"> </w:t>
      </w:r>
      <w:r w:rsidR="00022048" w:rsidRPr="005A608F">
        <w:rPr>
          <w:rFonts w:ascii="Tahoma" w:hAnsi="Tahoma" w:cs="Tahoma"/>
        </w:rPr>
        <w:t>bens ou prestação de serviços em geral, inclusive obras, com base na</w:t>
      </w:r>
      <w:r w:rsidR="00690DA3" w:rsidRPr="005A608F">
        <w:rPr>
          <w:rFonts w:ascii="Tahoma" w:hAnsi="Tahoma" w:cs="Tahoma"/>
        </w:rPr>
        <w:t xml:space="preserve"> </w:t>
      </w:r>
      <w:r w:rsidR="00022048" w:rsidRPr="005A608F">
        <w:rPr>
          <w:rFonts w:ascii="Tahoma" w:hAnsi="Tahoma" w:cs="Tahoma"/>
        </w:rPr>
        <w:t>instrução normativa 1.234/12, e alterações, da Receita Federal do Brasil.</w:t>
      </w:r>
    </w:p>
    <w:p w14:paraId="7C81B0CB" w14:textId="5D18BB76" w:rsidR="00690DA3" w:rsidRPr="005A608F" w:rsidRDefault="00690DA3" w:rsidP="00690DA3">
      <w:pPr>
        <w:autoSpaceDE w:val="0"/>
        <w:autoSpaceDN w:val="0"/>
        <w:adjustRightInd w:val="0"/>
        <w:spacing w:after="0" w:line="240" w:lineRule="auto"/>
        <w:jc w:val="both"/>
        <w:rPr>
          <w:rFonts w:ascii="Tahoma" w:hAnsi="Tahoma" w:cs="Tahoma"/>
        </w:rPr>
      </w:pPr>
      <w:r w:rsidRPr="005A608F">
        <w:rPr>
          <w:rFonts w:ascii="Tahoma" w:hAnsi="Tahoma" w:cs="Tahoma"/>
          <w:b/>
          <w:bCs/>
        </w:rPr>
        <w:t xml:space="preserve">§ 1º </w:t>
      </w:r>
      <w:r w:rsidRPr="005A608F">
        <w:rPr>
          <w:rFonts w:ascii="Tahoma" w:hAnsi="Tahoma" w:cs="Tahoma"/>
        </w:rPr>
        <w:t xml:space="preserve">As entidades referidas no </w:t>
      </w:r>
      <w:r w:rsidRPr="005A608F">
        <w:rPr>
          <w:rFonts w:ascii="Tahoma" w:hAnsi="Tahoma" w:cs="Tahoma"/>
          <w:i/>
          <w:iCs/>
        </w:rPr>
        <w:t xml:space="preserve">caput </w:t>
      </w:r>
      <w:r w:rsidRPr="005A608F">
        <w:rPr>
          <w:rFonts w:ascii="Tahoma" w:hAnsi="Tahoma" w:cs="Tahoma"/>
        </w:rPr>
        <w:t>não farão retenção de PIS, COFINS e CSLL, ressalvadas as hipóteses de celebração de convênio com a Receita Federal do Brasil nos termos do art. 33 da Lei Federal nº 10.833, de 2003.</w:t>
      </w:r>
    </w:p>
    <w:p w14:paraId="118418C0" w14:textId="4FDEABFE" w:rsidR="00690DA3" w:rsidRPr="005A608F" w:rsidRDefault="00690DA3" w:rsidP="00690DA3">
      <w:pPr>
        <w:autoSpaceDE w:val="0"/>
        <w:autoSpaceDN w:val="0"/>
        <w:adjustRightInd w:val="0"/>
        <w:spacing w:after="0" w:line="240" w:lineRule="auto"/>
        <w:jc w:val="both"/>
        <w:rPr>
          <w:rFonts w:ascii="Tahoma" w:hAnsi="Tahoma" w:cs="Tahoma"/>
        </w:rPr>
      </w:pPr>
      <w:r w:rsidRPr="005A608F">
        <w:rPr>
          <w:rFonts w:ascii="Tahoma" w:hAnsi="Tahoma" w:cs="Tahoma"/>
          <w:b/>
          <w:bCs/>
        </w:rPr>
        <w:t xml:space="preserve">§ 2º </w:t>
      </w:r>
      <w:r w:rsidRPr="005A608F">
        <w:rPr>
          <w:rFonts w:ascii="Tahoma" w:hAnsi="Tahoma" w:cs="Tahoma"/>
        </w:rPr>
        <w:t>Pessoas jurídicas optantes pelo Simples Nacional e MEI não estarão sujeitas à retenção de IR.</w:t>
      </w:r>
    </w:p>
    <w:p w14:paraId="0139035A" w14:textId="03424D95" w:rsidR="00690DA3" w:rsidRPr="005A608F" w:rsidRDefault="00690DA3" w:rsidP="00690DA3">
      <w:pPr>
        <w:autoSpaceDE w:val="0"/>
        <w:autoSpaceDN w:val="0"/>
        <w:adjustRightInd w:val="0"/>
        <w:spacing w:after="0" w:line="240" w:lineRule="auto"/>
        <w:jc w:val="both"/>
        <w:rPr>
          <w:rFonts w:ascii="Tahoma" w:hAnsi="Tahoma" w:cs="Tahoma"/>
        </w:rPr>
      </w:pPr>
    </w:p>
    <w:p w14:paraId="21A6F99A" w14:textId="1B817614" w:rsidR="00690DA3" w:rsidRPr="005A608F" w:rsidRDefault="00690DA3" w:rsidP="00690DA3">
      <w:pPr>
        <w:autoSpaceDE w:val="0"/>
        <w:autoSpaceDN w:val="0"/>
        <w:adjustRightInd w:val="0"/>
        <w:spacing w:after="0" w:line="240" w:lineRule="auto"/>
        <w:ind w:firstLine="708"/>
        <w:jc w:val="both"/>
        <w:rPr>
          <w:rFonts w:ascii="Tahoma" w:hAnsi="Tahoma" w:cs="Tahoma"/>
        </w:rPr>
      </w:pPr>
      <w:r w:rsidRPr="005A608F">
        <w:rPr>
          <w:rFonts w:ascii="Tahoma" w:hAnsi="Tahoma" w:cs="Tahoma"/>
          <w:b/>
        </w:rPr>
        <w:t>Art. 3°</w:t>
      </w:r>
      <w:r w:rsidRPr="005A608F">
        <w:rPr>
          <w:rFonts w:ascii="Tahoma" w:hAnsi="Tahoma" w:cs="Tahoma"/>
        </w:rPr>
        <w:t xml:space="preserve"> Ficam</w:t>
      </w:r>
      <w:r w:rsidR="00782AA6" w:rsidRPr="005A608F">
        <w:rPr>
          <w:rFonts w:ascii="Tahoma" w:hAnsi="Tahoma" w:cs="Tahoma"/>
        </w:rPr>
        <w:t xml:space="preserve"> </w:t>
      </w:r>
      <w:r w:rsidRPr="005A608F">
        <w:rPr>
          <w:rFonts w:ascii="Tahoma" w:hAnsi="Tahoma" w:cs="Tahoma"/>
        </w:rPr>
        <w:t>os ordenadores de despesas da administração direta, autárquica e fundacional responsáveis pelas retenções e pelos recolhimentos ao Tesouro Municipal, do produto da retenção do imposto de renda retido na fonte de que trata este decreto.</w:t>
      </w:r>
    </w:p>
    <w:p w14:paraId="1864D2FC" w14:textId="6EFECF7B" w:rsidR="00690DA3" w:rsidRPr="005A608F" w:rsidRDefault="00690DA3" w:rsidP="00690DA3">
      <w:pPr>
        <w:autoSpaceDE w:val="0"/>
        <w:autoSpaceDN w:val="0"/>
        <w:adjustRightInd w:val="0"/>
        <w:spacing w:after="0" w:line="240" w:lineRule="auto"/>
        <w:ind w:firstLine="708"/>
        <w:jc w:val="both"/>
        <w:rPr>
          <w:rFonts w:ascii="Tahoma" w:hAnsi="Tahoma" w:cs="Tahoma"/>
        </w:rPr>
      </w:pPr>
    </w:p>
    <w:p w14:paraId="1ABEEF29" w14:textId="60564D93" w:rsidR="00690DA3" w:rsidRPr="005A608F" w:rsidRDefault="00690DA3" w:rsidP="00690DA3">
      <w:pPr>
        <w:autoSpaceDE w:val="0"/>
        <w:autoSpaceDN w:val="0"/>
        <w:adjustRightInd w:val="0"/>
        <w:spacing w:after="0" w:line="240" w:lineRule="auto"/>
        <w:ind w:firstLine="708"/>
        <w:jc w:val="both"/>
        <w:rPr>
          <w:rFonts w:ascii="Tahoma" w:hAnsi="Tahoma" w:cs="Tahoma"/>
        </w:rPr>
      </w:pPr>
      <w:r w:rsidRPr="005A608F">
        <w:rPr>
          <w:rFonts w:ascii="Tahoma" w:hAnsi="Tahoma" w:cs="Tahoma"/>
          <w:b/>
        </w:rPr>
        <w:t>Art. 4°</w:t>
      </w:r>
      <w:r w:rsidRPr="005A608F">
        <w:rPr>
          <w:rFonts w:ascii="Tahoma" w:hAnsi="Tahoma" w:cs="Tahoma"/>
        </w:rPr>
        <w:t xml:space="preserve"> Os prestadores de serviço e fornecedores de bens deverão, a partir da vigência do presente Decreto, emitir os documentos fiscais, notas fiscais, faturas ou recibos com observância às regras de retenção dispostas na Instrução Normativa RFB Nº 1234, de 2012, sob pena de não aceitação por parte dos órgãos e entidades mencionados no art. 2º deste Decreto.</w:t>
      </w:r>
    </w:p>
    <w:p w14:paraId="69EAF4EA" w14:textId="5EBB77D7" w:rsidR="00323E4A" w:rsidRPr="005A608F" w:rsidRDefault="00323E4A" w:rsidP="00323E4A">
      <w:pPr>
        <w:autoSpaceDE w:val="0"/>
        <w:autoSpaceDN w:val="0"/>
        <w:adjustRightInd w:val="0"/>
        <w:spacing w:after="0" w:line="240" w:lineRule="auto"/>
        <w:jc w:val="both"/>
        <w:rPr>
          <w:rFonts w:ascii="Tahoma" w:hAnsi="Tahoma" w:cs="Tahoma"/>
        </w:rPr>
      </w:pPr>
      <w:r w:rsidRPr="005A608F">
        <w:rPr>
          <w:rFonts w:ascii="Tahoma" w:hAnsi="Tahoma" w:cs="Tahoma"/>
          <w:b/>
          <w:bCs/>
        </w:rPr>
        <w:t>§ 1º</w:t>
      </w:r>
      <w:r w:rsidRPr="005A608F">
        <w:rPr>
          <w:rFonts w:ascii="Tahoma" w:hAnsi="Tahoma" w:cs="Tahoma"/>
        </w:rPr>
        <w:t xml:space="preserve"> Nos casos de pagamentos realizados através de documentos que contenham código de barras ou código </w:t>
      </w:r>
      <w:proofErr w:type="spellStart"/>
      <w:r w:rsidRPr="005A608F">
        <w:rPr>
          <w:rFonts w:ascii="Tahoma" w:hAnsi="Tahoma" w:cs="Tahoma"/>
        </w:rPr>
        <w:t>pix</w:t>
      </w:r>
      <w:proofErr w:type="spellEnd"/>
      <w:r w:rsidRPr="005A608F">
        <w:rPr>
          <w:rFonts w:ascii="Tahoma" w:hAnsi="Tahoma" w:cs="Tahoma"/>
        </w:rPr>
        <w:t xml:space="preserve"> ou nos casos de débito automático em conta, sem a correção, por parte do fornecedor do bem ou da prestação do serviço, do documento de cobrança ou do débito automático de forma a considerar o valor do imposto de renda a ser retido, será emitido documento de arrecadação municipal, em nome do fornecedor, com vencimento no dia 10 do mês subsequente ao do pagamento realizado, salvo se substituírem o documento viciado por outro emitido conforme regras do caput.</w:t>
      </w:r>
    </w:p>
    <w:p w14:paraId="7793861D" w14:textId="2EF2D4C6" w:rsidR="00323E4A" w:rsidRPr="005A608F" w:rsidRDefault="00323E4A" w:rsidP="00323E4A">
      <w:pPr>
        <w:autoSpaceDE w:val="0"/>
        <w:autoSpaceDN w:val="0"/>
        <w:adjustRightInd w:val="0"/>
        <w:spacing w:after="0" w:line="240" w:lineRule="auto"/>
        <w:jc w:val="both"/>
        <w:rPr>
          <w:rFonts w:ascii="Tahoma" w:hAnsi="Tahoma" w:cs="Tahoma"/>
        </w:rPr>
      </w:pPr>
      <w:r w:rsidRPr="005A608F">
        <w:rPr>
          <w:rFonts w:ascii="Tahoma" w:hAnsi="Tahoma" w:cs="Tahoma"/>
          <w:b/>
          <w:bCs/>
        </w:rPr>
        <w:t>§ 2º</w:t>
      </w:r>
      <w:r w:rsidRPr="005A608F">
        <w:rPr>
          <w:rFonts w:ascii="Tahoma" w:hAnsi="Tahoma" w:cs="Tahoma"/>
        </w:rPr>
        <w:t xml:space="preserve"> Nos casos específicos das instituições financeiras que promovam o débito automático quando da utilização de serviços como TED, DOC e outros, essas entidades poderão optar por enviar fatura mensal referente aos serviços utilizados, que seguirá o fluxo da despesa pública, culminando no pagamento.</w:t>
      </w:r>
    </w:p>
    <w:p w14:paraId="55E82E49" w14:textId="59BC1B41" w:rsidR="00323E4A" w:rsidRPr="005A608F" w:rsidRDefault="00323E4A" w:rsidP="00323E4A">
      <w:pPr>
        <w:autoSpaceDE w:val="0"/>
        <w:autoSpaceDN w:val="0"/>
        <w:adjustRightInd w:val="0"/>
        <w:spacing w:after="0" w:line="240" w:lineRule="auto"/>
        <w:jc w:val="both"/>
        <w:rPr>
          <w:rFonts w:ascii="Tahoma" w:hAnsi="Tahoma" w:cs="Tahoma"/>
        </w:rPr>
      </w:pPr>
      <w:r w:rsidRPr="005A608F">
        <w:rPr>
          <w:rFonts w:ascii="Tahoma" w:hAnsi="Tahoma" w:cs="Tahoma"/>
          <w:b/>
          <w:bCs/>
        </w:rPr>
        <w:t>§ 3º</w:t>
      </w:r>
      <w:r w:rsidRPr="005A608F">
        <w:rPr>
          <w:rFonts w:ascii="Tahoma" w:hAnsi="Tahoma" w:cs="Tahoma"/>
        </w:rPr>
        <w:t xml:space="preserve"> Ficam os fornecedores que enviam documentos onde o pagamento deva ser realizado via código de barras ou código </w:t>
      </w:r>
      <w:proofErr w:type="spellStart"/>
      <w:r w:rsidRPr="005A608F">
        <w:rPr>
          <w:rFonts w:ascii="Tahoma" w:hAnsi="Tahoma" w:cs="Tahoma"/>
        </w:rPr>
        <w:t>pix</w:t>
      </w:r>
      <w:proofErr w:type="spellEnd"/>
      <w:r w:rsidRPr="005A608F">
        <w:rPr>
          <w:rFonts w:ascii="Tahoma" w:hAnsi="Tahoma" w:cs="Tahoma"/>
        </w:rPr>
        <w:t xml:space="preserve"> e ainda os fornecedores que promovam o débito em conta, obrigados a regularizar, até o dia 31 de </w:t>
      </w:r>
      <w:r w:rsidR="005A608F" w:rsidRPr="005A608F">
        <w:rPr>
          <w:rFonts w:ascii="Tahoma" w:hAnsi="Tahoma" w:cs="Tahoma"/>
        </w:rPr>
        <w:t>julho</w:t>
      </w:r>
      <w:r w:rsidRPr="005A608F">
        <w:rPr>
          <w:rFonts w:ascii="Tahoma" w:hAnsi="Tahoma" w:cs="Tahoma"/>
        </w:rPr>
        <w:t xml:space="preserve"> de 2023, a situação no documento de cobrança a ser apresentado ou em relação ao débito automático para fins de atendimento ao disposto no caput.</w:t>
      </w:r>
    </w:p>
    <w:p w14:paraId="5FB0CA4D" w14:textId="19889643" w:rsidR="00323E4A" w:rsidRPr="005A608F" w:rsidRDefault="00323E4A" w:rsidP="00323E4A">
      <w:pPr>
        <w:autoSpaceDE w:val="0"/>
        <w:autoSpaceDN w:val="0"/>
        <w:adjustRightInd w:val="0"/>
        <w:spacing w:after="0" w:line="240" w:lineRule="auto"/>
        <w:jc w:val="both"/>
        <w:rPr>
          <w:rFonts w:ascii="Tahoma" w:hAnsi="Tahoma" w:cs="Tahoma"/>
        </w:rPr>
      </w:pPr>
      <w:r w:rsidRPr="001F0537">
        <w:rPr>
          <w:rFonts w:ascii="Tahoma" w:hAnsi="Tahoma" w:cs="Tahoma"/>
          <w:b/>
          <w:bCs/>
        </w:rPr>
        <w:t>§ 4º</w:t>
      </w:r>
      <w:r w:rsidRPr="005A608F">
        <w:rPr>
          <w:rFonts w:ascii="Tahoma" w:hAnsi="Tahoma" w:cs="Tahoma"/>
        </w:rPr>
        <w:t xml:space="preserve"> Aplicam-se as regras dispostas nos §§1º a 3º sem prejuízo da ação judicial cabível.</w:t>
      </w:r>
    </w:p>
    <w:p w14:paraId="7167B7EF" w14:textId="6C5DACD6" w:rsidR="00B61158" w:rsidRPr="005A608F" w:rsidRDefault="001F0537" w:rsidP="00323E4A">
      <w:pPr>
        <w:autoSpaceDE w:val="0"/>
        <w:autoSpaceDN w:val="0"/>
        <w:adjustRightInd w:val="0"/>
        <w:spacing w:after="0" w:line="240" w:lineRule="auto"/>
        <w:jc w:val="both"/>
        <w:rPr>
          <w:rFonts w:ascii="Tahoma" w:hAnsi="Tahoma" w:cs="Tahoma"/>
        </w:rPr>
      </w:pPr>
      <w:r>
        <w:rPr>
          <w:rFonts w:ascii="Tahoma" w:hAnsi="Tahoma" w:cs="Tahoma"/>
          <w:b/>
          <w:bCs/>
        </w:rPr>
        <w:t>§ 5º</w:t>
      </w:r>
      <w:r w:rsidR="00B61158" w:rsidRPr="005A608F">
        <w:rPr>
          <w:rFonts w:ascii="Tahoma" w:hAnsi="Tahoma" w:cs="Tahoma"/>
          <w:b/>
          <w:bCs/>
        </w:rPr>
        <w:t xml:space="preserve"> </w:t>
      </w:r>
      <w:r w:rsidR="00B61158" w:rsidRPr="005A608F">
        <w:rPr>
          <w:rFonts w:ascii="Tahoma" w:hAnsi="Tahoma" w:cs="Tahoma"/>
        </w:rPr>
        <w:t>Os documentos fiscais emitidos em desacordo com o previsto no caput deste artigo, caso não possam ser substituídos ou retificados por meio de Carta de Correção e para fins exclusivos de indicar a retenção, igualmente incorrerão na retenção do Imposto de Renda, na forma prevista neste Decreto.</w:t>
      </w:r>
    </w:p>
    <w:p w14:paraId="5293EB34" w14:textId="77777777" w:rsidR="00B61158" w:rsidRPr="005A608F" w:rsidRDefault="00B61158" w:rsidP="00690DA3">
      <w:pPr>
        <w:autoSpaceDE w:val="0"/>
        <w:autoSpaceDN w:val="0"/>
        <w:adjustRightInd w:val="0"/>
        <w:spacing w:after="0" w:line="240" w:lineRule="auto"/>
        <w:ind w:firstLine="708"/>
        <w:jc w:val="both"/>
        <w:rPr>
          <w:rFonts w:ascii="Tahoma" w:hAnsi="Tahoma" w:cs="Tahoma"/>
          <w:b/>
        </w:rPr>
      </w:pPr>
    </w:p>
    <w:p w14:paraId="11C320EA" w14:textId="4598462F" w:rsidR="00B61158" w:rsidRPr="005A608F" w:rsidRDefault="00B61158" w:rsidP="00B61158">
      <w:pPr>
        <w:autoSpaceDE w:val="0"/>
        <w:autoSpaceDN w:val="0"/>
        <w:adjustRightInd w:val="0"/>
        <w:spacing w:after="0" w:line="240" w:lineRule="auto"/>
        <w:ind w:firstLine="708"/>
        <w:jc w:val="both"/>
        <w:rPr>
          <w:rFonts w:ascii="Tahoma" w:hAnsi="Tahoma" w:cs="Tahoma"/>
          <w:bCs/>
        </w:rPr>
      </w:pPr>
      <w:r w:rsidRPr="005A608F">
        <w:rPr>
          <w:rFonts w:ascii="Tahoma" w:hAnsi="Tahoma" w:cs="Tahoma"/>
          <w:b/>
        </w:rPr>
        <w:lastRenderedPageBreak/>
        <w:t xml:space="preserve">Art. 5° </w:t>
      </w:r>
      <w:r w:rsidRPr="005A608F">
        <w:rPr>
          <w:rFonts w:ascii="Tahoma" w:hAnsi="Tahoma" w:cs="Tahoma"/>
          <w:bCs/>
        </w:rPr>
        <w:t>A obrigação da retenção aplica-se a todos os contratos vigentes e vindouros e a todas as relações de compras e pagamentos efetuados pelos órgãos e entidades abrangidos por este Decreto.</w:t>
      </w:r>
    </w:p>
    <w:p w14:paraId="7DC95CF3" w14:textId="38ED11B0" w:rsidR="00B61158" w:rsidRPr="005A608F" w:rsidRDefault="00B61158" w:rsidP="00B61158">
      <w:pPr>
        <w:autoSpaceDE w:val="0"/>
        <w:autoSpaceDN w:val="0"/>
        <w:adjustRightInd w:val="0"/>
        <w:spacing w:after="0" w:line="240" w:lineRule="auto"/>
        <w:jc w:val="both"/>
        <w:rPr>
          <w:rFonts w:ascii="Tahoma" w:hAnsi="Tahoma" w:cs="Tahoma"/>
        </w:rPr>
      </w:pPr>
      <w:r w:rsidRPr="005A608F">
        <w:rPr>
          <w:rFonts w:ascii="Tahoma" w:hAnsi="Tahoma" w:cs="Tahoma"/>
          <w:b/>
          <w:bCs/>
        </w:rPr>
        <w:t>Parágrafo único.</w:t>
      </w:r>
      <w:r w:rsidRPr="005A608F">
        <w:rPr>
          <w:rFonts w:ascii="Tahoma" w:hAnsi="Tahoma" w:cs="Tahoma"/>
        </w:rPr>
        <w:t xml:space="preserve"> O disposto no caput desse artigo não se aplica aos empenhos e às liquidações efetivadas até o dia 3</w:t>
      </w:r>
      <w:r w:rsidR="007E7403">
        <w:rPr>
          <w:rFonts w:ascii="Tahoma" w:hAnsi="Tahoma" w:cs="Tahoma"/>
        </w:rPr>
        <w:t>1</w:t>
      </w:r>
      <w:r w:rsidRPr="005A608F">
        <w:rPr>
          <w:rFonts w:ascii="Tahoma" w:hAnsi="Tahoma" w:cs="Tahoma"/>
        </w:rPr>
        <w:t xml:space="preserve"> de </w:t>
      </w:r>
      <w:r w:rsidR="007E7403">
        <w:rPr>
          <w:rFonts w:ascii="Tahoma" w:hAnsi="Tahoma" w:cs="Tahoma"/>
        </w:rPr>
        <w:t>julho</w:t>
      </w:r>
      <w:r w:rsidRPr="005A608F">
        <w:rPr>
          <w:rFonts w:ascii="Tahoma" w:hAnsi="Tahoma" w:cs="Tahoma"/>
        </w:rPr>
        <w:t xml:space="preserve"> de 2023.</w:t>
      </w:r>
    </w:p>
    <w:p w14:paraId="7D9AE779" w14:textId="3AAF00CC" w:rsidR="00323E4A" w:rsidRPr="005A608F" w:rsidRDefault="00323E4A" w:rsidP="00B61158">
      <w:pPr>
        <w:autoSpaceDE w:val="0"/>
        <w:autoSpaceDN w:val="0"/>
        <w:adjustRightInd w:val="0"/>
        <w:spacing w:after="0" w:line="240" w:lineRule="auto"/>
        <w:jc w:val="both"/>
        <w:rPr>
          <w:rFonts w:ascii="Tahoma" w:hAnsi="Tahoma" w:cs="Tahoma"/>
        </w:rPr>
      </w:pPr>
    </w:p>
    <w:p w14:paraId="65A50D24" w14:textId="6DB1590F" w:rsidR="00B61158" w:rsidRPr="005A608F" w:rsidRDefault="00323E4A" w:rsidP="00B61158">
      <w:pPr>
        <w:autoSpaceDE w:val="0"/>
        <w:autoSpaceDN w:val="0"/>
        <w:adjustRightInd w:val="0"/>
        <w:spacing w:after="0" w:line="240" w:lineRule="auto"/>
        <w:ind w:firstLine="708"/>
        <w:jc w:val="both"/>
        <w:rPr>
          <w:rFonts w:ascii="Tahoma" w:hAnsi="Tahoma" w:cs="Tahoma"/>
        </w:rPr>
      </w:pPr>
      <w:r w:rsidRPr="005A608F">
        <w:rPr>
          <w:rFonts w:ascii="Tahoma" w:hAnsi="Tahoma" w:cs="Tahoma"/>
          <w:b/>
        </w:rPr>
        <w:t xml:space="preserve">Art. 6° </w:t>
      </w:r>
      <w:r w:rsidR="00B61158" w:rsidRPr="005A608F">
        <w:rPr>
          <w:rFonts w:ascii="Tahoma" w:hAnsi="Tahoma" w:cs="Tahoma"/>
        </w:rPr>
        <w:t>Os valores retidos deverão ser recolhidos imediatamente ao Tesouro Municipal por meio de procedimentos adotados no sistema financeiro e contábil do Município.</w:t>
      </w:r>
    </w:p>
    <w:p w14:paraId="47B2861E" w14:textId="26CFF581" w:rsidR="00323E4A" w:rsidRPr="005A608F" w:rsidRDefault="00323E4A" w:rsidP="00B61158">
      <w:pPr>
        <w:autoSpaceDE w:val="0"/>
        <w:autoSpaceDN w:val="0"/>
        <w:adjustRightInd w:val="0"/>
        <w:spacing w:after="0" w:line="240" w:lineRule="auto"/>
        <w:ind w:firstLine="708"/>
        <w:jc w:val="both"/>
        <w:rPr>
          <w:rFonts w:ascii="Tahoma" w:hAnsi="Tahoma" w:cs="Tahoma"/>
        </w:rPr>
      </w:pPr>
    </w:p>
    <w:p w14:paraId="130A3014" w14:textId="6D9F4E8F" w:rsidR="00323E4A" w:rsidRPr="005A608F" w:rsidRDefault="00323E4A" w:rsidP="00B61158">
      <w:pPr>
        <w:autoSpaceDE w:val="0"/>
        <w:autoSpaceDN w:val="0"/>
        <w:adjustRightInd w:val="0"/>
        <w:spacing w:after="0" w:line="240" w:lineRule="auto"/>
        <w:ind w:firstLine="708"/>
        <w:jc w:val="both"/>
        <w:rPr>
          <w:rFonts w:ascii="Tahoma" w:hAnsi="Tahoma" w:cs="Tahoma"/>
        </w:rPr>
      </w:pPr>
      <w:r w:rsidRPr="005A608F">
        <w:rPr>
          <w:rFonts w:ascii="Tahoma" w:hAnsi="Tahoma" w:cs="Tahoma"/>
          <w:b/>
        </w:rPr>
        <w:t xml:space="preserve">Art. 7° </w:t>
      </w:r>
      <w:r w:rsidRPr="005A608F">
        <w:rPr>
          <w:rFonts w:ascii="Tahoma" w:hAnsi="Tahoma" w:cs="Tahoma"/>
        </w:rPr>
        <w:t xml:space="preserve">Este Decreto entra em vigor no dia </w:t>
      </w:r>
      <w:r w:rsidR="007E7403">
        <w:rPr>
          <w:rFonts w:ascii="Tahoma" w:hAnsi="Tahoma" w:cs="Tahoma"/>
        </w:rPr>
        <w:t>01</w:t>
      </w:r>
      <w:r w:rsidRPr="005A608F">
        <w:rPr>
          <w:rFonts w:ascii="Tahoma" w:hAnsi="Tahoma" w:cs="Tahoma"/>
        </w:rPr>
        <w:t xml:space="preserve"> de </w:t>
      </w:r>
      <w:r w:rsidR="007E7403">
        <w:rPr>
          <w:rFonts w:ascii="Tahoma" w:hAnsi="Tahoma" w:cs="Tahoma"/>
        </w:rPr>
        <w:t>agosto</w:t>
      </w:r>
      <w:r w:rsidRPr="005A608F">
        <w:rPr>
          <w:rFonts w:ascii="Tahoma" w:hAnsi="Tahoma" w:cs="Tahoma"/>
        </w:rPr>
        <w:t xml:space="preserve"> de 2023.</w:t>
      </w:r>
    </w:p>
    <w:p w14:paraId="5AB1733B" w14:textId="649E85FC" w:rsidR="00690DA3" w:rsidRPr="005A608F" w:rsidRDefault="00690DA3" w:rsidP="00B61158">
      <w:pPr>
        <w:autoSpaceDE w:val="0"/>
        <w:autoSpaceDN w:val="0"/>
        <w:adjustRightInd w:val="0"/>
        <w:spacing w:after="0" w:line="240" w:lineRule="auto"/>
        <w:jc w:val="both"/>
        <w:rPr>
          <w:rFonts w:ascii="Tahoma" w:hAnsi="Tahoma" w:cs="Tahoma"/>
        </w:rPr>
      </w:pPr>
    </w:p>
    <w:p w14:paraId="3086EF70" w14:textId="651A0A42" w:rsidR="00690DA3" w:rsidRDefault="00690DA3" w:rsidP="00690DA3">
      <w:pPr>
        <w:autoSpaceDE w:val="0"/>
        <w:autoSpaceDN w:val="0"/>
        <w:adjustRightInd w:val="0"/>
        <w:spacing w:after="0" w:line="240" w:lineRule="auto"/>
        <w:jc w:val="both"/>
        <w:rPr>
          <w:rFonts w:ascii="Tahoma" w:hAnsi="Tahoma" w:cs="Tahoma"/>
        </w:rPr>
      </w:pPr>
    </w:p>
    <w:p w14:paraId="33087492" w14:textId="77777777" w:rsidR="00724CE4" w:rsidRPr="005A608F" w:rsidRDefault="00724CE4" w:rsidP="00690DA3">
      <w:pPr>
        <w:autoSpaceDE w:val="0"/>
        <w:autoSpaceDN w:val="0"/>
        <w:adjustRightInd w:val="0"/>
        <w:spacing w:after="0" w:line="240" w:lineRule="auto"/>
        <w:jc w:val="both"/>
        <w:rPr>
          <w:rFonts w:ascii="Tahoma" w:hAnsi="Tahoma" w:cs="Tahoma"/>
        </w:rPr>
      </w:pPr>
    </w:p>
    <w:p w14:paraId="481585DA" w14:textId="3C1901CB" w:rsidR="00767B8E" w:rsidRPr="005A608F" w:rsidRDefault="00E42358" w:rsidP="00F72FE3">
      <w:pPr>
        <w:pStyle w:val="Recuodecorpodetexto2"/>
        <w:spacing w:after="0" w:line="240" w:lineRule="auto"/>
        <w:ind w:right="-568"/>
        <w:jc w:val="right"/>
        <w:rPr>
          <w:rFonts w:ascii="Tahoma" w:hAnsi="Tahoma" w:cs="Tahoma"/>
          <w:sz w:val="22"/>
          <w:szCs w:val="22"/>
        </w:rPr>
      </w:pPr>
      <w:r w:rsidRPr="005A608F">
        <w:rPr>
          <w:rFonts w:ascii="Tahoma" w:hAnsi="Tahoma" w:cs="Tahoma"/>
          <w:sz w:val="22"/>
          <w:szCs w:val="22"/>
        </w:rPr>
        <w:t xml:space="preserve">Gabinete do Executivo Municipal, em </w:t>
      </w:r>
      <w:r w:rsidR="005D7AEF">
        <w:rPr>
          <w:rFonts w:ascii="Tahoma" w:hAnsi="Tahoma" w:cs="Tahoma"/>
          <w:sz w:val="22"/>
          <w:szCs w:val="22"/>
        </w:rPr>
        <w:t>31 de julho</w:t>
      </w:r>
      <w:r w:rsidR="001D34E5" w:rsidRPr="005A608F">
        <w:rPr>
          <w:rFonts w:ascii="Tahoma" w:hAnsi="Tahoma" w:cs="Tahoma"/>
          <w:sz w:val="22"/>
          <w:szCs w:val="22"/>
        </w:rPr>
        <w:t xml:space="preserve"> </w:t>
      </w:r>
      <w:r w:rsidR="002837D9" w:rsidRPr="005A608F">
        <w:rPr>
          <w:rFonts w:ascii="Tahoma" w:hAnsi="Tahoma" w:cs="Tahoma"/>
          <w:sz w:val="22"/>
          <w:szCs w:val="22"/>
        </w:rPr>
        <w:t>de 202</w:t>
      </w:r>
      <w:r w:rsidR="00E40217" w:rsidRPr="005A608F">
        <w:rPr>
          <w:rFonts w:ascii="Tahoma" w:hAnsi="Tahoma" w:cs="Tahoma"/>
          <w:sz w:val="22"/>
          <w:szCs w:val="22"/>
        </w:rPr>
        <w:t>3</w:t>
      </w:r>
      <w:r w:rsidR="00D47E89" w:rsidRPr="005A608F">
        <w:rPr>
          <w:rFonts w:ascii="Tahoma" w:hAnsi="Tahoma" w:cs="Tahoma"/>
          <w:sz w:val="22"/>
          <w:szCs w:val="22"/>
        </w:rPr>
        <w:t>.</w:t>
      </w:r>
    </w:p>
    <w:tbl>
      <w:tblPr>
        <w:tblStyle w:val="Tabelacomgrade"/>
        <w:tblpPr w:leftFromText="141" w:rightFromText="141" w:vertAnchor="text" w:horzAnchor="margin" w:tblpY="23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8"/>
      </w:tblGrid>
      <w:tr w:rsidR="005A608F" w:rsidRPr="005A608F" w14:paraId="4455E8FD" w14:textId="77777777" w:rsidTr="000B616F">
        <w:trPr>
          <w:trHeight w:val="1692"/>
        </w:trPr>
        <w:tc>
          <w:tcPr>
            <w:tcW w:w="2808" w:type="dxa"/>
          </w:tcPr>
          <w:p w14:paraId="18B8EFB2" w14:textId="77777777" w:rsidR="00767B8E" w:rsidRPr="005A608F" w:rsidRDefault="00767B8E" w:rsidP="000B616F">
            <w:pPr>
              <w:pStyle w:val="TextosemFormatao"/>
              <w:jc w:val="both"/>
              <w:rPr>
                <w:rFonts w:ascii="Tahoma" w:hAnsi="Tahoma" w:cs="Tahoma"/>
                <w:sz w:val="22"/>
                <w:szCs w:val="22"/>
              </w:rPr>
            </w:pPr>
            <w:r w:rsidRPr="005A608F">
              <w:rPr>
                <w:rFonts w:ascii="Tahoma" w:hAnsi="Tahoma" w:cs="Tahoma"/>
                <w:sz w:val="22"/>
                <w:szCs w:val="22"/>
              </w:rPr>
              <w:t>Registrado e Publicado</w:t>
            </w:r>
          </w:p>
          <w:p w14:paraId="09D0329E" w14:textId="77777777" w:rsidR="00767B8E" w:rsidRPr="005A608F" w:rsidRDefault="00767B8E" w:rsidP="000B616F">
            <w:pPr>
              <w:pStyle w:val="TextosemFormatao"/>
              <w:jc w:val="both"/>
              <w:rPr>
                <w:rFonts w:ascii="Tahoma" w:hAnsi="Tahoma" w:cs="Tahoma"/>
                <w:sz w:val="22"/>
                <w:szCs w:val="22"/>
              </w:rPr>
            </w:pPr>
            <w:r w:rsidRPr="005A608F">
              <w:rPr>
                <w:rFonts w:ascii="Tahoma" w:hAnsi="Tahoma" w:cs="Tahoma"/>
                <w:sz w:val="22"/>
                <w:szCs w:val="22"/>
              </w:rPr>
              <w:t>Em __/___/2023</w:t>
            </w:r>
          </w:p>
          <w:p w14:paraId="13329EA9" w14:textId="77777777" w:rsidR="00767B8E" w:rsidRPr="005A608F" w:rsidRDefault="00767B8E" w:rsidP="000B616F">
            <w:pPr>
              <w:pStyle w:val="TextosemFormatao"/>
              <w:jc w:val="both"/>
              <w:rPr>
                <w:rFonts w:ascii="Tahoma" w:hAnsi="Tahoma" w:cs="Tahoma"/>
                <w:sz w:val="22"/>
                <w:szCs w:val="22"/>
              </w:rPr>
            </w:pPr>
            <w:r w:rsidRPr="005A608F">
              <w:rPr>
                <w:rFonts w:ascii="Tahoma" w:hAnsi="Tahoma" w:cs="Tahoma"/>
                <w:sz w:val="22"/>
                <w:szCs w:val="22"/>
              </w:rPr>
              <w:t>Lei Municipal 1087/1993</w:t>
            </w:r>
          </w:p>
          <w:p w14:paraId="17FD62E8" w14:textId="77777777" w:rsidR="00767B8E" w:rsidRPr="005A608F" w:rsidRDefault="00767B8E" w:rsidP="000B616F">
            <w:pPr>
              <w:pStyle w:val="TextosemFormatao"/>
              <w:jc w:val="both"/>
              <w:rPr>
                <w:rFonts w:ascii="Tahoma" w:hAnsi="Tahoma" w:cs="Tahoma"/>
                <w:sz w:val="22"/>
                <w:szCs w:val="22"/>
              </w:rPr>
            </w:pPr>
          </w:p>
          <w:p w14:paraId="6EC829E2" w14:textId="77777777" w:rsidR="00767B8E" w:rsidRPr="005A608F" w:rsidRDefault="00767B8E" w:rsidP="000B616F">
            <w:pPr>
              <w:pStyle w:val="TextosemFormatao"/>
              <w:jc w:val="both"/>
              <w:outlineLvl w:val="0"/>
              <w:rPr>
                <w:rFonts w:ascii="Tahoma" w:hAnsi="Tahoma" w:cs="Tahoma"/>
                <w:sz w:val="22"/>
                <w:szCs w:val="22"/>
              </w:rPr>
            </w:pPr>
            <w:r w:rsidRPr="005A608F">
              <w:rPr>
                <w:rFonts w:ascii="Tahoma" w:hAnsi="Tahoma" w:cs="Tahoma"/>
                <w:sz w:val="22"/>
                <w:szCs w:val="22"/>
              </w:rPr>
              <w:t>Carlo Andreas Dalcanale Filho</w:t>
            </w:r>
          </w:p>
          <w:p w14:paraId="0FFBA782" w14:textId="77777777" w:rsidR="00767B8E" w:rsidRPr="005A608F" w:rsidRDefault="00767B8E" w:rsidP="000B616F">
            <w:pPr>
              <w:pStyle w:val="TextosemFormatao"/>
              <w:jc w:val="both"/>
              <w:rPr>
                <w:rFonts w:ascii="Tahoma" w:hAnsi="Tahoma" w:cs="Tahoma"/>
                <w:sz w:val="22"/>
                <w:szCs w:val="22"/>
              </w:rPr>
            </w:pPr>
            <w:r w:rsidRPr="005A608F">
              <w:rPr>
                <w:rFonts w:ascii="Tahoma" w:hAnsi="Tahoma" w:cs="Tahoma"/>
                <w:sz w:val="22"/>
                <w:szCs w:val="22"/>
              </w:rPr>
              <w:t>Servidor Designado</w:t>
            </w:r>
          </w:p>
        </w:tc>
      </w:tr>
    </w:tbl>
    <w:p w14:paraId="61002F66" w14:textId="77777777" w:rsidR="00F72FE3" w:rsidRPr="005A608F" w:rsidRDefault="00F72FE3" w:rsidP="00F72FE3">
      <w:pPr>
        <w:pStyle w:val="TextosemFormatao"/>
        <w:ind w:right="-567"/>
        <w:jc w:val="both"/>
        <w:outlineLvl w:val="0"/>
        <w:rPr>
          <w:rFonts w:ascii="Tahoma" w:hAnsi="Tahoma" w:cs="Tahoma"/>
          <w:b/>
          <w:bCs/>
          <w:sz w:val="22"/>
          <w:szCs w:val="22"/>
        </w:rPr>
      </w:pPr>
    </w:p>
    <w:p w14:paraId="030B4D2A" w14:textId="77777777" w:rsidR="00F72FE3" w:rsidRPr="005A608F" w:rsidRDefault="00F72FE3" w:rsidP="00F72FE3">
      <w:pPr>
        <w:pStyle w:val="TextosemFormatao"/>
        <w:ind w:right="-567"/>
        <w:jc w:val="both"/>
        <w:outlineLvl w:val="0"/>
        <w:rPr>
          <w:rFonts w:ascii="Tahoma" w:hAnsi="Tahoma" w:cs="Tahoma"/>
          <w:b/>
          <w:bCs/>
          <w:sz w:val="22"/>
          <w:szCs w:val="22"/>
        </w:rPr>
      </w:pPr>
    </w:p>
    <w:p w14:paraId="02891D76" w14:textId="666CE2C6" w:rsidR="000B616F" w:rsidRDefault="000B616F" w:rsidP="00F72FE3">
      <w:pPr>
        <w:pStyle w:val="TextosemFormatao"/>
        <w:ind w:right="-567"/>
        <w:jc w:val="both"/>
        <w:outlineLvl w:val="0"/>
        <w:rPr>
          <w:rFonts w:ascii="Tahoma" w:hAnsi="Tahoma" w:cs="Tahoma"/>
          <w:b/>
          <w:bCs/>
          <w:sz w:val="22"/>
          <w:szCs w:val="22"/>
        </w:rPr>
      </w:pPr>
    </w:p>
    <w:p w14:paraId="7A44A8AF" w14:textId="37082AD9" w:rsidR="00724CE4" w:rsidRDefault="00724CE4" w:rsidP="00F72FE3">
      <w:pPr>
        <w:pStyle w:val="TextosemFormatao"/>
        <w:ind w:right="-567"/>
        <w:jc w:val="both"/>
        <w:outlineLvl w:val="0"/>
        <w:rPr>
          <w:rFonts w:ascii="Tahoma" w:hAnsi="Tahoma" w:cs="Tahoma"/>
          <w:b/>
          <w:bCs/>
          <w:sz w:val="22"/>
          <w:szCs w:val="22"/>
        </w:rPr>
      </w:pPr>
    </w:p>
    <w:p w14:paraId="4F60A89D" w14:textId="77777777" w:rsidR="00724CE4" w:rsidRPr="005A608F" w:rsidRDefault="00724CE4" w:rsidP="00F72FE3">
      <w:pPr>
        <w:pStyle w:val="TextosemFormatao"/>
        <w:ind w:right="-567"/>
        <w:jc w:val="both"/>
        <w:outlineLvl w:val="0"/>
        <w:rPr>
          <w:rFonts w:ascii="Tahoma" w:hAnsi="Tahoma" w:cs="Tahoma"/>
          <w:b/>
          <w:bCs/>
          <w:sz w:val="22"/>
          <w:szCs w:val="22"/>
        </w:rPr>
      </w:pPr>
    </w:p>
    <w:p w14:paraId="20738DCA" w14:textId="5F275596" w:rsidR="00E347BE" w:rsidRPr="005A608F" w:rsidRDefault="00E347BE" w:rsidP="00F72FE3">
      <w:pPr>
        <w:pStyle w:val="TextosemFormatao"/>
        <w:ind w:right="-567"/>
        <w:jc w:val="center"/>
        <w:outlineLvl w:val="0"/>
        <w:rPr>
          <w:rFonts w:ascii="Tahoma" w:hAnsi="Tahoma" w:cs="Tahoma"/>
          <w:b/>
          <w:bCs/>
          <w:sz w:val="22"/>
          <w:szCs w:val="22"/>
        </w:rPr>
      </w:pPr>
      <w:r w:rsidRPr="005A608F">
        <w:rPr>
          <w:rFonts w:ascii="Tahoma" w:hAnsi="Tahoma" w:cs="Tahoma"/>
          <w:b/>
          <w:bCs/>
          <w:sz w:val="22"/>
          <w:szCs w:val="22"/>
        </w:rPr>
        <w:t>SILVANO DE PARIZ</w:t>
      </w:r>
    </w:p>
    <w:p w14:paraId="3B364BAE" w14:textId="24F0095E" w:rsidR="00E367DF" w:rsidRDefault="00E367DF" w:rsidP="00F72FE3">
      <w:pPr>
        <w:pStyle w:val="TextosemFormatao"/>
        <w:ind w:right="-567"/>
        <w:jc w:val="center"/>
        <w:outlineLvl w:val="0"/>
        <w:rPr>
          <w:rFonts w:ascii="Tahoma" w:hAnsi="Tahoma" w:cs="Tahoma"/>
          <w:b/>
          <w:bCs/>
          <w:sz w:val="22"/>
          <w:szCs w:val="22"/>
        </w:rPr>
      </w:pPr>
      <w:r w:rsidRPr="005A608F">
        <w:rPr>
          <w:rFonts w:ascii="Tahoma" w:hAnsi="Tahoma" w:cs="Tahoma"/>
          <w:b/>
          <w:bCs/>
          <w:sz w:val="22"/>
          <w:szCs w:val="22"/>
        </w:rPr>
        <w:t>Prefeito Municipal</w:t>
      </w:r>
    </w:p>
    <w:p w14:paraId="27A41751" w14:textId="77777777" w:rsidR="00724CE4" w:rsidRPr="005A608F" w:rsidRDefault="00724CE4" w:rsidP="00F72FE3">
      <w:pPr>
        <w:pStyle w:val="TextosemFormatao"/>
        <w:ind w:right="-567"/>
        <w:jc w:val="center"/>
        <w:outlineLvl w:val="0"/>
        <w:rPr>
          <w:rFonts w:ascii="Tahoma" w:hAnsi="Tahoma" w:cs="Tahoma"/>
          <w:sz w:val="22"/>
          <w:szCs w:val="22"/>
        </w:rPr>
      </w:pPr>
      <w:bookmarkStart w:id="0" w:name="_GoBack"/>
      <w:bookmarkEnd w:id="0"/>
    </w:p>
    <w:p w14:paraId="49FFC4C7" w14:textId="3BF3F474" w:rsidR="00D47E89" w:rsidRDefault="00D47E89" w:rsidP="00F72FE3">
      <w:pPr>
        <w:jc w:val="both"/>
        <w:rPr>
          <w:rFonts w:ascii="Tahoma" w:hAnsi="Tahoma" w:cs="Tahoma"/>
          <w:b/>
          <w:bCs/>
        </w:rPr>
      </w:pPr>
    </w:p>
    <w:p w14:paraId="18F5DC3C" w14:textId="2B0EB853" w:rsidR="00724CE4" w:rsidRDefault="00724CE4" w:rsidP="00F72FE3">
      <w:pPr>
        <w:jc w:val="both"/>
        <w:rPr>
          <w:rFonts w:ascii="Tahoma" w:hAnsi="Tahoma" w:cs="Tahoma"/>
          <w:b/>
          <w:bCs/>
        </w:rPr>
      </w:pPr>
    </w:p>
    <w:p w14:paraId="6EC2096A" w14:textId="77777777" w:rsidR="00724CE4" w:rsidRPr="005A608F" w:rsidRDefault="00724CE4" w:rsidP="00F72FE3">
      <w:pPr>
        <w:jc w:val="both"/>
        <w:rPr>
          <w:rFonts w:ascii="Tahoma" w:hAnsi="Tahoma" w:cs="Tahoma"/>
          <w:b/>
          <w:bCs/>
        </w:rPr>
      </w:pPr>
    </w:p>
    <w:p w14:paraId="593001DF" w14:textId="77777777" w:rsidR="00767B8E" w:rsidRPr="005A608F" w:rsidRDefault="00767B8E" w:rsidP="00F72FE3">
      <w:pPr>
        <w:jc w:val="both"/>
        <w:rPr>
          <w:rFonts w:ascii="Tahoma" w:hAnsi="Tahoma" w:cs="Tahoma"/>
          <w:b/>
          <w:bCs/>
        </w:rPr>
      </w:pPr>
    </w:p>
    <w:p w14:paraId="0EAD4371" w14:textId="77777777" w:rsidR="00767B8E" w:rsidRPr="005A608F" w:rsidRDefault="00767B8E" w:rsidP="00F72FE3">
      <w:pPr>
        <w:jc w:val="both"/>
        <w:rPr>
          <w:rFonts w:ascii="Tahoma" w:hAnsi="Tahoma" w:cs="Tahoma"/>
          <w:b/>
          <w:bCs/>
        </w:rPr>
      </w:pPr>
    </w:p>
    <w:p w14:paraId="77497365" w14:textId="77777777" w:rsidR="001D34E5" w:rsidRPr="005A608F" w:rsidRDefault="001D34E5" w:rsidP="00F72FE3">
      <w:pPr>
        <w:spacing w:after="0" w:line="240" w:lineRule="auto"/>
        <w:jc w:val="both"/>
        <w:rPr>
          <w:rFonts w:ascii="Tahoma" w:hAnsi="Tahoma" w:cs="Tahoma"/>
          <w:b/>
          <w:bCs/>
        </w:rPr>
      </w:pPr>
    </w:p>
    <w:p w14:paraId="52395A2D" w14:textId="77777777" w:rsidR="001D34E5" w:rsidRPr="005A608F" w:rsidRDefault="001D34E5" w:rsidP="00F72FE3">
      <w:pPr>
        <w:spacing w:after="0" w:line="240" w:lineRule="auto"/>
        <w:jc w:val="both"/>
        <w:rPr>
          <w:rFonts w:ascii="Tahoma" w:hAnsi="Tahoma" w:cs="Tahoma"/>
          <w:b/>
          <w:bCs/>
        </w:rPr>
      </w:pPr>
    </w:p>
    <w:p w14:paraId="656A0E8C" w14:textId="77777777" w:rsidR="001D34E5" w:rsidRPr="005A608F" w:rsidRDefault="001D34E5" w:rsidP="00F72FE3">
      <w:pPr>
        <w:spacing w:after="0" w:line="240" w:lineRule="auto"/>
        <w:jc w:val="both"/>
        <w:rPr>
          <w:rFonts w:ascii="Tahoma" w:hAnsi="Tahoma" w:cs="Tahoma"/>
          <w:b/>
          <w:bCs/>
        </w:rPr>
      </w:pPr>
    </w:p>
    <w:p w14:paraId="7E0687AF" w14:textId="77777777" w:rsidR="000B616F" w:rsidRPr="005A608F" w:rsidRDefault="000B616F" w:rsidP="00F72FE3">
      <w:pPr>
        <w:spacing w:after="0" w:line="240" w:lineRule="auto"/>
        <w:jc w:val="both"/>
        <w:rPr>
          <w:rFonts w:ascii="Tahoma" w:hAnsi="Tahoma" w:cs="Tahoma"/>
          <w:b/>
          <w:bCs/>
        </w:rPr>
      </w:pPr>
    </w:p>
    <w:p w14:paraId="49F3094C" w14:textId="77777777" w:rsidR="000B616F" w:rsidRPr="005A608F" w:rsidRDefault="000B616F" w:rsidP="00F72FE3">
      <w:pPr>
        <w:spacing w:after="0" w:line="240" w:lineRule="auto"/>
        <w:jc w:val="both"/>
        <w:rPr>
          <w:rFonts w:ascii="Tahoma" w:hAnsi="Tahoma" w:cs="Tahoma"/>
          <w:b/>
          <w:bCs/>
        </w:rPr>
      </w:pPr>
    </w:p>
    <w:p w14:paraId="40012C7E" w14:textId="77777777" w:rsidR="000B616F" w:rsidRPr="005A608F" w:rsidRDefault="000B616F" w:rsidP="00F72FE3">
      <w:pPr>
        <w:spacing w:after="0" w:line="240" w:lineRule="auto"/>
        <w:jc w:val="both"/>
        <w:rPr>
          <w:rFonts w:ascii="Tahoma" w:hAnsi="Tahoma" w:cs="Tahoma"/>
          <w:b/>
          <w:bCs/>
        </w:rPr>
      </w:pPr>
    </w:p>
    <w:p w14:paraId="1EDA67F1" w14:textId="77777777" w:rsidR="000B616F" w:rsidRPr="005A608F" w:rsidRDefault="000B616F" w:rsidP="00F72FE3">
      <w:pPr>
        <w:spacing w:after="0" w:line="240" w:lineRule="auto"/>
        <w:jc w:val="both"/>
        <w:rPr>
          <w:rFonts w:ascii="Tahoma" w:hAnsi="Tahoma" w:cs="Tahoma"/>
          <w:b/>
          <w:bCs/>
        </w:rPr>
      </w:pPr>
    </w:p>
    <w:p w14:paraId="0D2A6403" w14:textId="4B70EF86" w:rsidR="007E7403" w:rsidRDefault="007E7403">
      <w:pPr>
        <w:rPr>
          <w:rFonts w:ascii="Tahoma" w:hAnsi="Tahoma" w:cs="Tahoma"/>
          <w:b/>
          <w:bCs/>
        </w:rPr>
      </w:pPr>
      <w:r>
        <w:rPr>
          <w:rFonts w:ascii="Tahoma" w:hAnsi="Tahoma" w:cs="Tahoma"/>
          <w:b/>
          <w:bCs/>
        </w:rPr>
        <w:br w:type="page"/>
      </w:r>
    </w:p>
    <w:p w14:paraId="23593ECE" w14:textId="4578EEE0" w:rsidR="000467BE" w:rsidRDefault="00942D0C" w:rsidP="007E7403">
      <w:pPr>
        <w:spacing w:after="0" w:line="240" w:lineRule="auto"/>
        <w:jc w:val="center"/>
        <w:rPr>
          <w:rFonts w:ascii="Tahoma" w:hAnsi="Tahoma" w:cs="Tahoma"/>
          <w:b/>
          <w:bCs/>
        </w:rPr>
      </w:pPr>
      <w:r w:rsidRPr="005A608F">
        <w:rPr>
          <w:rFonts w:ascii="Tahoma" w:hAnsi="Tahoma" w:cs="Tahoma"/>
          <w:b/>
          <w:bCs/>
        </w:rPr>
        <w:lastRenderedPageBreak/>
        <w:t>A</w:t>
      </w:r>
      <w:r w:rsidR="00556211" w:rsidRPr="005A608F">
        <w:rPr>
          <w:rFonts w:ascii="Tahoma" w:hAnsi="Tahoma" w:cs="Tahoma"/>
          <w:b/>
          <w:bCs/>
        </w:rPr>
        <w:t xml:space="preserve">NEXO </w:t>
      </w:r>
      <w:r w:rsidR="005D2B91" w:rsidRPr="005A608F">
        <w:rPr>
          <w:rFonts w:ascii="Tahoma" w:hAnsi="Tahoma" w:cs="Tahoma"/>
          <w:b/>
          <w:bCs/>
        </w:rPr>
        <w:t>ÚNIC</w:t>
      </w:r>
      <w:r w:rsidR="000467BE" w:rsidRPr="005A608F">
        <w:rPr>
          <w:rFonts w:ascii="Tahoma" w:hAnsi="Tahoma" w:cs="Tahoma"/>
          <w:b/>
          <w:bCs/>
        </w:rPr>
        <w:t>O</w:t>
      </w:r>
    </w:p>
    <w:p w14:paraId="04A83EAC" w14:textId="494CFD2D" w:rsidR="007E7403" w:rsidRDefault="007E7403" w:rsidP="007E7403">
      <w:pPr>
        <w:spacing w:after="0" w:line="240" w:lineRule="auto"/>
        <w:jc w:val="center"/>
        <w:rPr>
          <w:rFonts w:ascii="Tahoma" w:hAnsi="Tahoma" w:cs="Tahoma"/>
          <w:b/>
          <w:bCs/>
        </w:rPr>
      </w:pPr>
    </w:p>
    <w:p w14:paraId="29997068" w14:textId="77777777" w:rsidR="007E7403" w:rsidRPr="005A608F" w:rsidRDefault="007E7403" w:rsidP="007E7403">
      <w:pPr>
        <w:spacing w:after="0" w:line="240" w:lineRule="auto"/>
        <w:jc w:val="center"/>
        <w:rPr>
          <w:rFonts w:ascii="Tahoma" w:hAnsi="Tahoma" w:cs="Tahoma"/>
          <w:b/>
          <w:bCs/>
        </w:rPr>
      </w:pPr>
    </w:p>
    <w:p w14:paraId="58D57C93" w14:textId="4A058AD9" w:rsidR="0055616D" w:rsidRPr="00E146DB" w:rsidRDefault="00942D0C" w:rsidP="0055616D">
      <w:pPr>
        <w:spacing w:after="0" w:line="240" w:lineRule="auto"/>
        <w:jc w:val="center"/>
        <w:rPr>
          <w:rFonts w:ascii="Tahoma" w:hAnsi="Tahoma" w:cs="Tahoma"/>
          <w:b/>
          <w:bCs/>
        </w:rPr>
      </w:pPr>
      <w:r w:rsidRPr="00E146DB">
        <w:rPr>
          <w:rFonts w:ascii="Tahoma" w:hAnsi="Tahoma" w:cs="Tahoma"/>
          <w:b/>
          <w:bCs/>
        </w:rPr>
        <w:t>DESCRIÇÃO DA NATUREZA DO BEM FORNECIDO OU DO SERVIÇO PRESTADO COM A ALIQUOTA A RETER DE IMPOSTO DE RENDA (IRPJ)</w:t>
      </w:r>
    </w:p>
    <w:p w14:paraId="51AC779B" w14:textId="70680648" w:rsidR="00E146DB" w:rsidRDefault="00E146DB" w:rsidP="0055616D">
      <w:pPr>
        <w:spacing w:after="0" w:line="240" w:lineRule="auto"/>
        <w:jc w:val="center"/>
        <w:rPr>
          <w:rFonts w:ascii="Tahoma" w:hAnsi="Tahoma" w:cs="Tahoma"/>
          <w:b/>
          <w:bCs/>
        </w:rPr>
      </w:pPr>
    </w:p>
    <w:p w14:paraId="61C5DC69" w14:textId="77777777" w:rsidR="00E146DB" w:rsidRPr="00E146DB" w:rsidRDefault="00E146DB" w:rsidP="0055616D">
      <w:pPr>
        <w:spacing w:after="0" w:line="240" w:lineRule="auto"/>
        <w:jc w:val="center"/>
        <w:rPr>
          <w:rFonts w:ascii="Tahoma" w:hAnsi="Tahoma" w:cs="Tahoma"/>
          <w:b/>
          <w:bCs/>
        </w:rPr>
      </w:pPr>
    </w:p>
    <w:tbl>
      <w:tblPr>
        <w:tblStyle w:val="TableGrid"/>
        <w:tblW w:w="9062" w:type="dxa"/>
        <w:tblInd w:w="116" w:type="dxa"/>
        <w:tblCellMar>
          <w:top w:w="45" w:type="dxa"/>
          <w:bottom w:w="5" w:type="dxa"/>
          <w:right w:w="5" w:type="dxa"/>
        </w:tblCellMar>
        <w:tblLook w:val="04A0" w:firstRow="1" w:lastRow="0" w:firstColumn="1" w:lastColumn="0" w:noHBand="0" w:noVBand="1"/>
      </w:tblPr>
      <w:tblGrid>
        <w:gridCol w:w="6547"/>
        <w:gridCol w:w="2515"/>
      </w:tblGrid>
      <w:tr w:rsidR="00E146DB" w:rsidRPr="00E146DB" w14:paraId="111FC490" w14:textId="77777777" w:rsidTr="00AD6314">
        <w:trPr>
          <w:trHeight w:val="566"/>
        </w:trPr>
        <w:tc>
          <w:tcPr>
            <w:tcW w:w="6547" w:type="dxa"/>
            <w:tcBorders>
              <w:top w:val="single" w:sz="4" w:space="0" w:color="000000"/>
              <w:left w:val="single" w:sz="4" w:space="0" w:color="000000"/>
              <w:bottom w:val="single" w:sz="4" w:space="0" w:color="000000"/>
              <w:right w:val="single" w:sz="4" w:space="0" w:color="000000"/>
            </w:tcBorders>
          </w:tcPr>
          <w:p w14:paraId="41C4366D" w14:textId="77777777" w:rsidR="00E146DB" w:rsidRPr="00E146DB" w:rsidRDefault="00E146DB" w:rsidP="00AD6314">
            <w:pPr>
              <w:spacing w:line="259" w:lineRule="auto"/>
              <w:ind w:left="76"/>
              <w:rPr>
                <w:rFonts w:ascii="Tahoma" w:hAnsi="Tahoma" w:cs="Tahoma"/>
              </w:rPr>
            </w:pPr>
            <w:r w:rsidRPr="00E146DB">
              <w:rPr>
                <w:rFonts w:ascii="Tahoma" w:eastAsia="Calibri" w:hAnsi="Tahoma" w:cs="Tahoma"/>
                <w:b/>
              </w:rPr>
              <w:t>DESCRIÇÃO DA NATUREZA DO BEM FORNCECIDO OU DO SERVIÇO PRESTADO</w:t>
            </w:r>
          </w:p>
        </w:tc>
        <w:tc>
          <w:tcPr>
            <w:tcW w:w="2515" w:type="dxa"/>
            <w:tcBorders>
              <w:top w:val="single" w:sz="4" w:space="0" w:color="000000"/>
              <w:left w:val="single" w:sz="4" w:space="0" w:color="000000"/>
              <w:bottom w:val="single" w:sz="4" w:space="0" w:color="000000"/>
              <w:right w:val="single" w:sz="4" w:space="0" w:color="000000"/>
            </w:tcBorders>
          </w:tcPr>
          <w:p w14:paraId="1F68C379" w14:textId="77777777" w:rsidR="00E146DB" w:rsidRPr="00E146DB" w:rsidRDefault="00E146DB" w:rsidP="00AD6314">
            <w:pPr>
              <w:spacing w:line="259" w:lineRule="auto"/>
              <w:jc w:val="center"/>
              <w:rPr>
                <w:rFonts w:ascii="Tahoma" w:hAnsi="Tahoma" w:cs="Tahoma"/>
              </w:rPr>
            </w:pPr>
            <w:r w:rsidRPr="00E146DB">
              <w:rPr>
                <w:rFonts w:ascii="Tahoma" w:eastAsia="Calibri" w:hAnsi="Tahoma" w:cs="Tahoma"/>
                <w:b/>
              </w:rPr>
              <w:t>ALÍQUOTA A RETER DE IMPOSTO DE RENDA</w:t>
            </w:r>
          </w:p>
        </w:tc>
      </w:tr>
      <w:tr w:rsidR="00E146DB" w:rsidRPr="00E146DB" w14:paraId="5629D88E" w14:textId="77777777" w:rsidTr="00E146DB">
        <w:trPr>
          <w:trHeight w:val="3269"/>
        </w:trPr>
        <w:tc>
          <w:tcPr>
            <w:tcW w:w="6547" w:type="dxa"/>
            <w:tcBorders>
              <w:top w:val="single" w:sz="4" w:space="0" w:color="000000"/>
              <w:left w:val="single" w:sz="4" w:space="0" w:color="000000"/>
              <w:bottom w:val="single" w:sz="4" w:space="0" w:color="000000"/>
              <w:right w:val="single" w:sz="4" w:space="0" w:color="000000"/>
            </w:tcBorders>
          </w:tcPr>
          <w:p w14:paraId="0AC4865B"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Alimentação;</w:t>
            </w:r>
          </w:p>
          <w:p w14:paraId="306313D2"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Energia elétrica;</w:t>
            </w:r>
          </w:p>
          <w:p w14:paraId="63FC330F"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Serviços prestados com emprego de materiais;</w:t>
            </w:r>
          </w:p>
          <w:p w14:paraId="5D3FA322"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Construção Civil por empreitada com emprego de    materiais;</w:t>
            </w:r>
          </w:p>
          <w:p w14:paraId="6D6243A3" w14:textId="77777777" w:rsidR="00E146DB" w:rsidRPr="00E146DB" w:rsidRDefault="00E146DB" w:rsidP="00E146DB">
            <w:pPr>
              <w:numPr>
                <w:ilvl w:val="0"/>
                <w:numId w:val="5"/>
              </w:numPr>
              <w:spacing w:after="24"/>
              <w:ind w:hanging="360"/>
              <w:rPr>
                <w:rFonts w:ascii="Tahoma" w:hAnsi="Tahoma" w:cs="Tahoma"/>
              </w:rPr>
            </w:pPr>
            <w:r w:rsidRPr="00E146DB">
              <w:rPr>
                <w:rFonts w:ascii="Tahoma" w:hAnsi="Tahoma" w:cs="Tahoma"/>
              </w:rPr>
              <w:t xml:space="preserve">Serviços hospitalares de que trata o art. 30; Serviços de auxílio diagnóstico e terapia, patologia clínica, </w:t>
            </w:r>
            <w:proofErr w:type="spellStart"/>
            <w:r w:rsidRPr="00E146DB">
              <w:rPr>
                <w:rFonts w:ascii="Tahoma" w:hAnsi="Tahoma" w:cs="Tahoma"/>
              </w:rPr>
              <w:t>imagenologia</w:t>
            </w:r>
            <w:proofErr w:type="spellEnd"/>
            <w:r w:rsidRPr="00E146DB">
              <w:rPr>
                <w:rFonts w:ascii="Tahoma" w:hAnsi="Tahoma" w:cs="Tahoma"/>
              </w:rPr>
              <w:t xml:space="preserve">, anatomia patológica e </w:t>
            </w:r>
            <w:proofErr w:type="spellStart"/>
            <w:r w:rsidRPr="00E146DB">
              <w:rPr>
                <w:rFonts w:ascii="Tahoma" w:hAnsi="Tahoma" w:cs="Tahoma"/>
              </w:rPr>
              <w:t>citopatológia</w:t>
            </w:r>
            <w:proofErr w:type="spellEnd"/>
            <w:r w:rsidRPr="00E146DB">
              <w:rPr>
                <w:rFonts w:ascii="Tahoma" w:hAnsi="Tahoma" w:cs="Tahoma"/>
              </w:rPr>
              <w:t>, medicina nuclear e análises e patologias clínicas de que trata o art. 31.</w:t>
            </w:r>
          </w:p>
          <w:p w14:paraId="6DC9C0D1"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Transporte de cargas, exceto os relacionados no código 8767;</w:t>
            </w:r>
          </w:p>
          <w:p w14:paraId="6FF714D3"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Produtos farmacêuticos, de perfumaria, de toucador ou de higiene pessoal adquiridos de produtor, importador, distribuidor ou varejista, exceto os relacionados no código 8767;</w:t>
            </w:r>
          </w:p>
          <w:p w14:paraId="74E6C914" w14:textId="77777777" w:rsidR="00E146DB" w:rsidRPr="00E146DB" w:rsidRDefault="00E146DB" w:rsidP="00E146DB">
            <w:pPr>
              <w:numPr>
                <w:ilvl w:val="0"/>
                <w:numId w:val="5"/>
              </w:numPr>
              <w:spacing w:line="259" w:lineRule="auto"/>
              <w:ind w:hanging="360"/>
              <w:rPr>
                <w:rFonts w:ascii="Tahoma" w:hAnsi="Tahoma" w:cs="Tahoma"/>
              </w:rPr>
            </w:pPr>
            <w:r w:rsidRPr="00E146DB">
              <w:rPr>
                <w:rFonts w:ascii="Tahoma" w:hAnsi="Tahoma" w:cs="Tahoma"/>
              </w:rPr>
              <w:t>Mercadorias e bens em geral.</w:t>
            </w:r>
          </w:p>
        </w:tc>
        <w:tc>
          <w:tcPr>
            <w:tcW w:w="2515" w:type="dxa"/>
            <w:tcBorders>
              <w:top w:val="single" w:sz="4" w:space="0" w:color="000000"/>
              <w:left w:val="single" w:sz="4" w:space="0" w:color="000000"/>
              <w:bottom w:val="single" w:sz="4" w:space="0" w:color="000000"/>
              <w:right w:val="single" w:sz="4" w:space="0" w:color="000000"/>
            </w:tcBorders>
            <w:vAlign w:val="center"/>
          </w:tcPr>
          <w:p w14:paraId="3217CD40" w14:textId="0E36D0E4" w:rsidR="00E146DB" w:rsidRPr="00E146DB" w:rsidRDefault="00E146DB" w:rsidP="00E146DB">
            <w:pPr>
              <w:tabs>
                <w:tab w:val="center" w:pos="1258"/>
              </w:tabs>
              <w:spacing w:after="505" w:line="259" w:lineRule="auto"/>
              <w:ind w:left="-5"/>
              <w:jc w:val="center"/>
              <w:rPr>
                <w:rFonts w:ascii="Tahoma" w:hAnsi="Tahoma" w:cs="Tahoma"/>
              </w:rPr>
            </w:pPr>
            <w:r w:rsidRPr="00E146DB">
              <w:rPr>
                <w:rFonts w:ascii="Tahoma" w:hAnsi="Tahoma" w:cs="Tahoma"/>
              </w:rPr>
              <w:t>1,2%</w:t>
            </w:r>
          </w:p>
        </w:tc>
      </w:tr>
      <w:tr w:rsidR="00E146DB" w:rsidRPr="00E146DB" w14:paraId="16C3A7B5" w14:textId="77777777" w:rsidTr="00E146DB">
        <w:trPr>
          <w:trHeight w:val="2483"/>
        </w:trPr>
        <w:tc>
          <w:tcPr>
            <w:tcW w:w="6547" w:type="dxa"/>
            <w:tcBorders>
              <w:top w:val="single" w:sz="4" w:space="0" w:color="000000"/>
              <w:left w:val="single" w:sz="4" w:space="0" w:color="000000"/>
              <w:bottom w:val="single" w:sz="4" w:space="0" w:color="000000"/>
              <w:right w:val="single" w:sz="4" w:space="0" w:color="000000"/>
            </w:tcBorders>
          </w:tcPr>
          <w:p w14:paraId="1E65A44B" w14:textId="77777777" w:rsidR="00E146DB" w:rsidRPr="00E146DB" w:rsidRDefault="00E146DB" w:rsidP="00E146DB">
            <w:pPr>
              <w:numPr>
                <w:ilvl w:val="0"/>
                <w:numId w:val="6"/>
              </w:numPr>
              <w:spacing w:after="24"/>
              <w:ind w:hanging="360"/>
              <w:jc w:val="both"/>
              <w:rPr>
                <w:rFonts w:ascii="Tahoma" w:hAnsi="Tahoma" w:cs="Tahoma"/>
              </w:rPr>
            </w:pPr>
            <w:r w:rsidRPr="00E146DB">
              <w:rPr>
                <w:rFonts w:ascii="Tahoma" w:hAnsi="Tahoma" w:cs="Tahoma"/>
              </w:rPr>
              <w:t>Gasolina, inclusive de aviação, óleo diesel, gás liquefeito de petróleo (GLP), combustíveis derivados de petróleo ou de gás natural, querosene de aviação (QAV), e demais produtos derivados de petróleo, adquiridos de refinarias de petróleo, de demais produtores, de importadores, de distribuidor ou varejista, pelos órgãos da administração pública de que trata o caput do art. 19;</w:t>
            </w:r>
          </w:p>
          <w:p w14:paraId="3C5C8985" w14:textId="77777777" w:rsidR="00E146DB" w:rsidRPr="00E146DB" w:rsidRDefault="00E146DB" w:rsidP="00E146DB">
            <w:pPr>
              <w:numPr>
                <w:ilvl w:val="0"/>
                <w:numId w:val="6"/>
              </w:numPr>
              <w:spacing w:after="24"/>
              <w:ind w:hanging="360"/>
              <w:jc w:val="both"/>
              <w:rPr>
                <w:rFonts w:ascii="Tahoma" w:hAnsi="Tahoma" w:cs="Tahoma"/>
              </w:rPr>
            </w:pPr>
            <w:r w:rsidRPr="00E146DB">
              <w:rPr>
                <w:rFonts w:ascii="Tahoma" w:hAnsi="Tahoma" w:cs="Tahoma"/>
              </w:rPr>
              <w:t>Álcool etílico hidratado, inclusive para fins carburantes, adquirido diretamente de produtor, importador ou distribuidor de que trata o art. 20;</w:t>
            </w:r>
          </w:p>
          <w:p w14:paraId="4514769A" w14:textId="77777777" w:rsidR="00E146DB" w:rsidRPr="00E146DB" w:rsidRDefault="00E146DB" w:rsidP="00E146DB">
            <w:pPr>
              <w:numPr>
                <w:ilvl w:val="0"/>
                <w:numId w:val="6"/>
              </w:numPr>
              <w:spacing w:line="259" w:lineRule="auto"/>
              <w:ind w:hanging="360"/>
              <w:jc w:val="both"/>
              <w:rPr>
                <w:rFonts w:ascii="Tahoma" w:hAnsi="Tahoma" w:cs="Tahoma"/>
              </w:rPr>
            </w:pPr>
            <w:r w:rsidRPr="00E146DB">
              <w:rPr>
                <w:rFonts w:ascii="Tahoma" w:hAnsi="Tahoma" w:cs="Tahoma"/>
              </w:rPr>
              <w:t>Biodiesel adquirido de produtor ou importador, de que trata o art. 21.</w:t>
            </w:r>
          </w:p>
        </w:tc>
        <w:tc>
          <w:tcPr>
            <w:tcW w:w="2515" w:type="dxa"/>
            <w:tcBorders>
              <w:top w:val="single" w:sz="4" w:space="0" w:color="000000"/>
              <w:left w:val="single" w:sz="4" w:space="0" w:color="000000"/>
              <w:bottom w:val="single" w:sz="4" w:space="0" w:color="000000"/>
              <w:right w:val="single" w:sz="4" w:space="0" w:color="000000"/>
            </w:tcBorders>
            <w:vAlign w:val="center"/>
          </w:tcPr>
          <w:p w14:paraId="1BE762BD" w14:textId="1659C864" w:rsidR="00E146DB" w:rsidRPr="00E146DB" w:rsidRDefault="00E146DB" w:rsidP="00E146DB">
            <w:pPr>
              <w:spacing w:after="108" w:line="259" w:lineRule="auto"/>
              <w:ind w:left="5"/>
              <w:jc w:val="center"/>
              <w:rPr>
                <w:rFonts w:ascii="Tahoma" w:hAnsi="Tahoma" w:cs="Tahoma"/>
              </w:rPr>
            </w:pPr>
            <w:r w:rsidRPr="00E146DB">
              <w:rPr>
                <w:rFonts w:ascii="Tahoma" w:hAnsi="Tahoma" w:cs="Tahoma"/>
              </w:rPr>
              <w:t>0,24</w:t>
            </w:r>
            <w:r>
              <w:rPr>
                <w:rFonts w:ascii="Tahoma" w:hAnsi="Tahoma" w:cs="Tahoma"/>
              </w:rPr>
              <w:t>%</w:t>
            </w:r>
          </w:p>
        </w:tc>
      </w:tr>
      <w:tr w:rsidR="00E146DB" w:rsidRPr="00E146DB" w14:paraId="5FD2E85F" w14:textId="77777777" w:rsidTr="00E146DB">
        <w:trPr>
          <w:trHeight w:val="805"/>
        </w:trPr>
        <w:tc>
          <w:tcPr>
            <w:tcW w:w="6547" w:type="dxa"/>
            <w:tcBorders>
              <w:top w:val="single" w:sz="4" w:space="0" w:color="000000"/>
              <w:left w:val="single" w:sz="4" w:space="0" w:color="000000"/>
              <w:bottom w:val="single" w:sz="4" w:space="0" w:color="000000"/>
              <w:right w:val="single" w:sz="4" w:space="0" w:color="000000"/>
            </w:tcBorders>
          </w:tcPr>
          <w:p w14:paraId="6B058353" w14:textId="77777777" w:rsidR="00E146DB" w:rsidRPr="00E146DB" w:rsidRDefault="00E146DB" w:rsidP="00E146DB">
            <w:pPr>
              <w:numPr>
                <w:ilvl w:val="0"/>
                <w:numId w:val="7"/>
              </w:numPr>
              <w:spacing w:after="24"/>
              <w:ind w:hanging="360"/>
              <w:jc w:val="both"/>
              <w:rPr>
                <w:rFonts w:ascii="Tahoma" w:hAnsi="Tahoma" w:cs="Tahoma"/>
              </w:rPr>
            </w:pPr>
            <w:r w:rsidRPr="00E146DB">
              <w:rPr>
                <w:rFonts w:ascii="Tahoma" w:hAnsi="Tahoma" w:cs="Tahoma"/>
              </w:rPr>
              <w:t>Gasolina, exceto gasolina de aviação, óleo diesel, gás liquefeito de petróleo (GLP), derivados de petróleo ou de gás natural e querosene de aviação adquiridos de distribuidores e comerciantes varejistas;</w:t>
            </w:r>
          </w:p>
          <w:p w14:paraId="4D8BE650" w14:textId="77777777" w:rsidR="00E146DB" w:rsidRPr="00E146DB" w:rsidRDefault="00E146DB" w:rsidP="00E146DB">
            <w:pPr>
              <w:numPr>
                <w:ilvl w:val="0"/>
                <w:numId w:val="7"/>
              </w:numPr>
              <w:spacing w:after="24"/>
              <w:ind w:hanging="360"/>
              <w:jc w:val="both"/>
              <w:rPr>
                <w:rFonts w:ascii="Tahoma" w:hAnsi="Tahoma" w:cs="Tahoma"/>
              </w:rPr>
            </w:pPr>
            <w:r w:rsidRPr="00E146DB">
              <w:rPr>
                <w:rFonts w:ascii="Tahoma" w:hAnsi="Tahoma" w:cs="Tahoma"/>
              </w:rPr>
              <w:t>Álcool etílico hidratado nacional, inclusive para fins carburantes adquirido de comerciante varejista;</w:t>
            </w:r>
          </w:p>
          <w:p w14:paraId="0B0F58EB" w14:textId="77777777" w:rsidR="00E146DB" w:rsidRPr="00E146DB" w:rsidRDefault="00E146DB" w:rsidP="00E146DB">
            <w:pPr>
              <w:numPr>
                <w:ilvl w:val="0"/>
                <w:numId w:val="7"/>
              </w:numPr>
              <w:spacing w:line="259" w:lineRule="auto"/>
              <w:ind w:hanging="360"/>
              <w:jc w:val="both"/>
              <w:rPr>
                <w:rFonts w:ascii="Tahoma" w:hAnsi="Tahoma" w:cs="Tahoma"/>
              </w:rPr>
            </w:pPr>
            <w:r w:rsidRPr="00E146DB">
              <w:rPr>
                <w:rFonts w:ascii="Tahoma" w:hAnsi="Tahoma" w:cs="Tahoma"/>
              </w:rPr>
              <w:t>Biodiesel adquirido de distribuidores e comerciantes varejistas;</w:t>
            </w:r>
          </w:p>
          <w:p w14:paraId="66D2D848" w14:textId="77777777" w:rsidR="00E146DB" w:rsidRPr="00E146DB" w:rsidRDefault="00E146DB" w:rsidP="00E146DB">
            <w:pPr>
              <w:numPr>
                <w:ilvl w:val="0"/>
                <w:numId w:val="7"/>
              </w:numPr>
              <w:spacing w:line="259" w:lineRule="auto"/>
              <w:ind w:hanging="360"/>
              <w:jc w:val="both"/>
              <w:rPr>
                <w:rFonts w:ascii="Tahoma" w:hAnsi="Tahoma" w:cs="Tahoma"/>
              </w:rPr>
            </w:pPr>
            <w:r w:rsidRPr="00E146DB">
              <w:rPr>
                <w:rFonts w:ascii="Tahoma" w:hAnsi="Tahoma" w:cs="Tahoma"/>
              </w:rPr>
              <w:t xml:space="preserve">Biodiesel adquirido de produtor detentor regular do selo "Combustível Social", fabricado a partir de mamona ou fruto, </w:t>
            </w:r>
            <w:r w:rsidRPr="00E146DB">
              <w:rPr>
                <w:rFonts w:ascii="Tahoma" w:hAnsi="Tahoma" w:cs="Tahoma"/>
              </w:rPr>
              <w:lastRenderedPageBreak/>
              <w:t>caroço ou amêndoa de palma produzidos nas regiões norte e nordeste e no semiárido, por agricultor familiar enquadrado no Programa Nacional de Fortalecimento da Agricultura Familiar (Pronaf).</w:t>
            </w:r>
          </w:p>
        </w:tc>
        <w:tc>
          <w:tcPr>
            <w:tcW w:w="2515" w:type="dxa"/>
            <w:tcBorders>
              <w:top w:val="single" w:sz="4" w:space="0" w:color="000000"/>
              <w:left w:val="single" w:sz="4" w:space="0" w:color="000000"/>
              <w:bottom w:val="single" w:sz="4" w:space="0" w:color="000000"/>
              <w:right w:val="single" w:sz="4" w:space="0" w:color="000000"/>
            </w:tcBorders>
            <w:vAlign w:val="center"/>
          </w:tcPr>
          <w:p w14:paraId="0E8001D4" w14:textId="1D6A58EA" w:rsidR="00E146DB" w:rsidRPr="00E146DB" w:rsidRDefault="00E146DB" w:rsidP="00E146DB">
            <w:pPr>
              <w:spacing w:line="259" w:lineRule="auto"/>
              <w:ind w:left="-5"/>
              <w:jc w:val="center"/>
              <w:rPr>
                <w:rFonts w:ascii="Tahoma" w:hAnsi="Tahoma" w:cs="Tahoma"/>
              </w:rPr>
            </w:pPr>
            <w:r w:rsidRPr="00E146DB">
              <w:rPr>
                <w:rFonts w:ascii="Tahoma" w:hAnsi="Tahoma" w:cs="Tahoma"/>
              </w:rPr>
              <w:lastRenderedPageBreak/>
              <w:t>0,24</w:t>
            </w:r>
            <w:r>
              <w:rPr>
                <w:rFonts w:ascii="Tahoma" w:hAnsi="Tahoma" w:cs="Tahoma"/>
              </w:rPr>
              <w:t>%</w:t>
            </w:r>
          </w:p>
        </w:tc>
      </w:tr>
      <w:tr w:rsidR="00E146DB" w:rsidRPr="00E146DB" w14:paraId="5CDA10B0" w14:textId="77777777" w:rsidTr="00AD6314">
        <w:trPr>
          <w:trHeight w:val="3248"/>
        </w:trPr>
        <w:tc>
          <w:tcPr>
            <w:tcW w:w="6547" w:type="dxa"/>
            <w:tcBorders>
              <w:top w:val="single" w:sz="4" w:space="0" w:color="000000"/>
              <w:left w:val="single" w:sz="4" w:space="0" w:color="000000"/>
              <w:bottom w:val="single" w:sz="4" w:space="0" w:color="000000"/>
              <w:right w:val="single" w:sz="4" w:space="0" w:color="000000"/>
            </w:tcBorders>
          </w:tcPr>
          <w:p w14:paraId="392973DB"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Transporte internacional de cargas efetuado por empresas nacionais;</w:t>
            </w:r>
          </w:p>
          <w:p w14:paraId="064E6F41" w14:textId="77777777" w:rsidR="00E146DB" w:rsidRPr="00E146DB" w:rsidRDefault="00E146DB" w:rsidP="00E146DB">
            <w:pPr>
              <w:numPr>
                <w:ilvl w:val="0"/>
                <w:numId w:val="8"/>
              </w:numPr>
              <w:spacing w:after="24"/>
              <w:ind w:hanging="360"/>
              <w:rPr>
                <w:rFonts w:ascii="Tahoma" w:hAnsi="Tahoma" w:cs="Tahoma"/>
              </w:rPr>
            </w:pPr>
            <w:r w:rsidRPr="00E146DB">
              <w:rPr>
                <w:rFonts w:ascii="Tahoma" w:hAnsi="Tahoma" w:cs="Tahoma"/>
              </w:rPr>
              <w:t xml:space="preserve">Estaleiros navais brasileiros nas atividades de construção, conservação, modernização, conversão e reparo de embarcações </w:t>
            </w:r>
            <w:proofErr w:type="spellStart"/>
            <w:r w:rsidRPr="00E146DB">
              <w:rPr>
                <w:rFonts w:ascii="Tahoma" w:hAnsi="Tahoma" w:cs="Tahoma"/>
              </w:rPr>
              <w:t>pré</w:t>
            </w:r>
            <w:proofErr w:type="spellEnd"/>
            <w:r w:rsidRPr="00E146DB">
              <w:rPr>
                <w:rFonts w:ascii="Tahoma" w:hAnsi="Tahoma" w:cs="Tahoma"/>
              </w:rPr>
              <w:t>-registradas ou registradas no Registro Especial Brasileiro (REB), instituído pela Lei nº 9.432, de 8 de janeiro de 1997;</w:t>
            </w:r>
          </w:p>
          <w:p w14:paraId="0A0ECA29" w14:textId="77777777" w:rsidR="00E146DB" w:rsidRPr="00E146DB" w:rsidRDefault="00E146DB" w:rsidP="00E146DB">
            <w:pPr>
              <w:numPr>
                <w:ilvl w:val="0"/>
                <w:numId w:val="8"/>
              </w:numPr>
              <w:spacing w:after="24"/>
              <w:ind w:hanging="360"/>
              <w:rPr>
                <w:rFonts w:ascii="Tahoma" w:hAnsi="Tahoma" w:cs="Tahoma"/>
              </w:rPr>
            </w:pPr>
            <w:r w:rsidRPr="00E146DB">
              <w:rPr>
                <w:rFonts w:ascii="Tahoma" w:hAnsi="Tahoma" w:cs="Tahoma"/>
              </w:rPr>
              <w:t xml:space="preserve">Produtos farmacêuticos, de perfumaria, de toucador e de higiene pessoal a que se refere o § 1º do art. </w:t>
            </w:r>
            <w:proofErr w:type="gramStart"/>
            <w:r w:rsidRPr="00E146DB">
              <w:rPr>
                <w:rFonts w:ascii="Tahoma" w:hAnsi="Tahoma" w:cs="Tahoma"/>
              </w:rPr>
              <w:t>22 ,</w:t>
            </w:r>
            <w:proofErr w:type="gramEnd"/>
            <w:r w:rsidRPr="00E146DB">
              <w:rPr>
                <w:rFonts w:ascii="Tahoma" w:hAnsi="Tahoma" w:cs="Tahoma"/>
              </w:rPr>
              <w:t xml:space="preserve"> adquiridos de distribuidores e de comerciantes varejistas;</w:t>
            </w:r>
          </w:p>
          <w:p w14:paraId="746E4D8D"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Produtos a que se refere o § 2º do art. 22;</w:t>
            </w:r>
          </w:p>
          <w:p w14:paraId="46A1FF13"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Produtos de que tratam as alíneas "c" a "k" do inciso I do art. 5º;</w:t>
            </w:r>
          </w:p>
          <w:p w14:paraId="4FC3689F"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 xml:space="preserve">Outros produtos ou serviços beneficiados com isenção, não incidência ou alíquotas zero da </w:t>
            </w:r>
            <w:proofErr w:type="spellStart"/>
            <w:r w:rsidRPr="00E146DB">
              <w:rPr>
                <w:rFonts w:ascii="Tahoma" w:hAnsi="Tahoma" w:cs="Tahoma"/>
              </w:rPr>
              <w:t>Cofins</w:t>
            </w:r>
            <w:proofErr w:type="spellEnd"/>
            <w:r w:rsidRPr="00E146DB">
              <w:rPr>
                <w:rFonts w:ascii="Tahoma" w:hAnsi="Tahoma" w:cs="Tahoma"/>
              </w:rPr>
              <w:t xml:space="preserve"> e da Contribuição para o PIS/Pasep, observado o disposto no § 5º do art. 2º.</w:t>
            </w:r>
          </w:p>
        </w:tc>
        <w:tc>
          <w:tcPr>
            <w:tcW w:w="2515" w:type="dxa"/>
            <w:tcBorders>
              <w:top w:val="single" w:sz="4" w:space="0" w:color="000000"/>
              <w:left w:val="single" w:sz="4" w:space="0" w:color="000000"/>
              <w:bottom w:val="single" w:sz="4" w:space="0" w:color="000000"/>
              <w:right w:val="single" w:sz="4" w:space="0" w:color="000000"/>
            </w:tcBorders>
            <w:vAlign w:val="center"/>
          </w:tcPr>
          <w:p w14:paraId="47B3EEB9" w14:textId="22A7ED17" w:rsidR="00E146DB" w:rsidRPr="00E146DB" w:rsidRDefault="00E146DB" w:rsidP="00E146DB">
            <w:pPr>
              <w:spacing w:line="259" w:lineRule="auto"/>
              <w:ind w:left="-5"/>
              <w:jc w:val="center"/>
              <w:rPr>
                <w:rFonts w:ascii="Tahoma" w:hAnsi="Tahoma" w:cs="Tahoma"/>
              </w:rPr>
            </w:pPr>
            <w:r w:rsidRPr="00E146DB">
              <w:rPr>
                <w:rFonts w:ascii="Tahoma" w:hAnsi="Tahoma" w:cs="Tahoma"/>
              </w:rPr>
              <w:t>1,2%</w:t>
            </w:r>
          </w:p>
        </w:tc>
      </w:tr>
      <w:tr w:rsidR="00E146DB" w:rsidRPr="00E146DB" w14:paraId="138F5523" w14:textId="77777777" w:rsidTr="00E146DB">
        <w:trPr>
          <w:trHeight w:val="753"/>
        </w:trPr>
        <w:tc>
          <w:tcPr>
            <w:tcW w:w="6547" w:type="dxa"/>
            <w:tcBorders>
              <w:top w:val="single" w:sz="4" w:space="0" w:color="000000"/>
              <w:left w:val="single" w:sz="4" w:space="0" w:color="000000"/>
              <w:bottom w:val="single" w:sz="4" w:space="0" w:color="000000"/>
              <w:right w:val="single" w:sz="4" w:space="0" w:color="000000"/>
            </w:tcBorders>
          </w:tcPr>
          <w:p w14:paraId="34BF15D7" w14:textId="77777777" w:rsidR="00E146DB" w:rsidRPr="00E146DB" w:rsidRDefault="00E146DB" w:rsidP="00E146DB">
            <w:pPr>
              <w:numPr>
                <w:ilvl w:val="0"/>
                <w:numId w:val="8"/>
              </w:numPr>
              <w:spacing w:line="259" w:lineRule="auto"/>
              <w:rPr>
                <w:rFonts w:ascii="Tahoma" w:hAnsi="Tahoma" w:cs="Tahoma"/>
              </w:rPr>
            </w:pPr>
            <w:r w:rsidRPr="00E146DB">
              <w:rPr>
                <w:rFonts w:ascii="Tahoma" w:hAnsi="Tahoma" w:cs="Tahoma"/>
              </w:rPr>
              <w:t>Passagens aéreas, rodoviárias e demais serviços de transporte de passageiros, inclusive tarifa de embarque, exceto as relacionadas no código 8850.</w:t>
            </w:r>
          </w:p>
        </w:tc>
        <w:tc>
          <w:tcPr>
            <w:tcW w:w="2515" w:type="dxa"/>
            <w:tcBorders>
              <w:top w:val="single" w:sz="4" w:space="0" w:color="000000"/>
              <w:left w:val="single" w:sz="4" w:space="0" w:color="000000"/>
              <w:bottom w:val="single" w:sz="4" w:space="0" w:color="000000"/>
              <w:right w:val="single" w:sz="4" w:space="0" w:color="000000"/>
            </w:tcBorders>
            <w:vAlign w:val="center"/>
          </w:tcPr>
          <w:p w14:paraId="52CCBD84" w14:textId="28917CA8" w:rsidR="00E146DB" w:rsidRPr="00E146DB" w:rsidRDefault="00E146DB" w:rsidP="00E146DB">
            <w:pPr>
              <w:spacing w:line="259" w:lineRule="auto"/>
              <w:ind w:left="-5"/>
              <w:jc w:val="center"/>
              <w:rPr>
                <w:rFonts w:ascii="Tahoma" w:hAnsi="Tahoma" w:cs="Tahoma"/>
              </w:rPr>
            </w:pPr>
            <w:r w:rsidRPr="00E146DB">
              <w:rPr>
                <w:rFonts w:ascii="Tahoma" w:hAnsi="Tahoma" w:cs="Tahoma"/>
              </w:rPr>
              <w:t>2,4%</w:t>
            </w:r>
          </w:p>
        </w:tc>
      </w:tr>
      <w:tr w:rsidR="00E146DB" w:rsidRPr="00E146DB" w14:paraId="41B5406F" w14:textId="77777777" w:rsidTr="00AD6314">
        <w:trPr>
          <w:trHeight w:val="753"/>
        </w:trPr>
        <w:tc>
          <w:tcPr>
            <w:tcW w:w="6547" w:type="dxa"/>
            <w:tcBorders>
              <w:top w:val="single" w:sz="4" w:space="0" w:color="000000"/>
              <w:left w:val="single" w:sz="4" w:space="0" w:color="000000"/>
              <w:bottom w:val="single" w:sz="4" w:space="0" w:color="000000"/>
              <w:right w:val="single" w:sz="4" w:space="0" w:color="000000"/>
            </w:tcBorders>
          </w:tcPr>
          <w:p w14:paraId="7CC1CD91"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Serviços de abastecimento de água;</w:t>
            </w:r>
          </w:p>
          <w:p w14:paraId="31F83A2C"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Telefone;</w:t>
            </w:r>
          </w:p>
          <w:p w14:paraId="1ADC85A0"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Correio e telégrafos;</w:t>
            </w:r>
          </w:p>
          <w:p w14:paraId="18FF0439"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Vigilância;</w:t>
            </w:r>
          </w:p>
          <w:p w14:paraId="0A51C1EC"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Limpeza;</w:t>
            </w:r>
          </w:p>
          <w:p w14:paraId="7D892B96"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Locação de mão de obra;</w:t>
            </w:r>
          </w:p>
          <w:p w14:paraId="125A03D2"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Intermediação de negócios;</w:t>
            </w:r>
          </w:p>
          <w:p w14:paraId="2251392D"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Administração, locação ou cessão de bens imóveis, móveis e direitos de qualquer natureza;</w:t>
            </w:r>
          </w:p>
          <w:p w14:paraId="210B3B6E" w14:textId="77777777" w:rsidR="00E146DB" w:rsidRPr="00E146DB" w:rsidRDefault="00E146DB" w:rsidP="00E146DB">
            <w:pPr>
              <w:numPr>
                <w:ilvl w:val="0"/>
                <w:numId w:val="8"/>
              </w:numPr>
              <w:spacing w:line="259" w:lineRule="auto"/>
              <w:ind w:hanging="360"/>
              <w:rPr>
                <w:rFonts w:ascii="Tahoma" w:hAnsi="Tahoma" w:cs="Tahoma"/>
              </w:rPr>
            </w:pPr>
            <w:proofErr w:type="spellStart"/>
            <w:r w:rsidRPr="00E146DB">
              <w:rPr>
                <w:rFonts w:ascii="Tahoma" w:hAnsi="Tahoma" w:cs="Tahoma"/>
              </w:rPr>
              <w:t>Factoring</w:t>
            </w:r>
            <w:proofErr w:type="spellEnd"/>
            <w:r w:rsidRPr="00E146DB">
              <w:rPr>
                <w:rFonts w:ascii="Tahoma" w:hAnsi="Tahoma" w:cs="Tahoma"/>
              </w:rPr>
              <w:t>;</w:t>
            </w:r>
          </w:p>
          <w:p w14:paraId="46F3BAC2"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Plano de saúde humano, veterinário ou odontológico com valores fixos por servidor, por empregado ou por animal;</w:t>
            </w:r>
          </w:p>
          <w:p w14:paraId="0F508F7A" w14:textId="77777777" w:rsidR="00E146DB" w:rsidRPr="00E146DB" w:rsidRDefault="00E146DB" w:rsidP="00E146DB">
            <w:pPr>
              <w:numPr>
                <w:ilvl w:val="0"/>
                <w:numId w:val="8"/>
              </w:numPr>
              <w:spacing w:line="259" w:lineRule="auto"/>
              <w:ind w:hanging="360"/>
              <w:rPr>
                <w:rFonts w:ascii="Tahoma" w:hAnsi="Tahoma" w:cs="Tahoma"/>
              </w:rPr>
            </w:pPr>
            <w:r w:rsidRPr="00E146DB">
              <w:rPr>
                <w:rFonts w:ascii="Tahoma" w:hAnsi="Tahoma" w:cs="Tahoma"/>
              </w:rPr>
              <w:t>Demais serviços.</w:t>
            </w:r>
          </w:p>
        </w:tc>
        <w:tc>
          <w:tcPr>
            <w:tcW w:w="2515" w:type="dxa"/>
            <w:tcBorders>
              <w:top w:val="single" w:sz="4" w:space="0" w:color="000000"/>
              <w:left w:val="single" w:sz="4" w:space="0" w:color="000000"/>
              <w:bottom w:val="single" w:sz="4" w:space="0" w:color="000000"/>
              <w:right w:val="single" w:sz="4" w:space="0" w:color="000000"/>
            </w:tcBorders>
            <w:vAlign w:val="center"/>
          </w:tcPr>
          <w:p w14:paraId="209CFD7C" w14:textId="77777777" w:rsidR="00E146DB" w:rsidRPr="00E146DB" w:rsidRDefault="00E146DB" w:rsidP="00AD6314">
            <w:pPr>
              <w:spacing w:line="259" w:lineRule="auto"/>
              <w:ind w:left="-5"/>
              <w:jc w:val="center"/>
              <w:rPr>
                <w:rFonts w:ascii="Tahoma" w:hAnsi="Tahoma" w:cs="Tahoma"/>
              </w:rPr>
            </w:pPr>
            <w:r w:rsidRPr="00E146DB">
              <w:rPr>
                <w:rFonts w:ascii="Tahoma" w:hAnsi="Tahoma" w:cs="Tahoma"/>
              </w:rPr>
              <w:t>4,8%</w:t>
            </w:r>
          </w:p>
        </w:tc>
      </w:tr>
    </w:tbl>
    <w:p w14:paraId="0E508327" w14:textId="77777777" w:rsidR="00E146DB" w:rsidRPr="00E146DB" w:rsidRDefault="00E146DB" w:rsidP="0055616D">
      <w:pPr>
        <w:spacing w:after="0" w:line="240" w:lineRule="auto"/>
        <w:jc w:val="center"/>
        <w:rPr>
          <w:rFonts w:ascii="Tahoma" w:hAnsi="Tahoma" w:cs="Tahoma"/>
          <w:b/>
          <w:bCs/>
        </w:rPr>
      </w:pPr>
    </w:p>
    <w:sectPr w:rsidR="00E146DB" w:rsidRPr="00E146DB" w:rsidSect="00701D32">
      <w:headerReference w:type="default" r:id="rId8"/>
      <w:type w:val="continuous"/>
      <w:pgSz w:w="11906" w:h="16838"/>
      <w:pgMar w:top="198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A948" w14:textId="77777777" w:rsidR="00103541" w:rsidRDefault="00103541" w:rsidP="000B5E50">
      <w:pPr>
        <w:spacing w:after="0" w:line="240" w:lineRule="auto"/>
      </w:pPr>
      <w:r>
        <w:separator/>
      </w:r>
    </w:p>
  </w:endnote>
  <w:endnote w:type="continuationSeparator" w:id="0">
    <w:p w14:paraId="573F19B1" w14:textId="77777777" w:rsidR="00103541" w:rsidRDefault="00103541" w:rsidP="000B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1B9D" w14:textId="77777777" w:rsidR="00103541" w:rsidRDefault="00103541" w:rsidP="000B5E50">
      <w:pPr>
        <w:spacing w:after="0" w:line="240" w:lineRule="auto"/>
      </w:pPr>
      <w:r>
        <w:separator/>
      </w:r>
    </w:p>
  </w:footnote>
  <w:footnote w:type="continuationSeparator" w:id="0">
    <w:p w14:paraId="6A611FF2" w14:textId="77777777" w:rsidR="00103541" w:rsidRDefault="00103541" w:rsidP="000B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6882" w14:textId="77777777" w:rsidR="004C30A7" w:rsidRPr="00133C01" w:rsidRDefault="004C30A7" w:rsidP="00133C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8C9"/>
    <w:multiLevelType w:val="hybridMultilevel"/>
    <w:tmpl w:val="4E7EB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824BB"/>
    <w:multiLevelType w:val="hybridMultilevel"/>
    <w:tmpl w:val="D84A0604"/>
    <w:lvl w:ilvl="0" w:tplc="FFFFFFFF">
      <w:start w:val="1"/>
      <w:numFmt w:val="lowerLetter"/>
      <w:lvlText w:val="%1-"/>
      <w:lvlJc w:val="left"/>
      <w:pPr>
        <w:tabs>
          <w:tab w:val="num" w:pos="1305"/>
        </w:tabs>
        <w:ind w:left="1305" w:hanging="390"/>
      </w:pPr>
      <w:rPr>
        <w:rFonts w:hint="default"/>
      </w:r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2" w15:restartNumberingAfterBreak="0">
    <w:nsid w:val="0F387BA7"/>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F9219F8"/>
    <w:multiLevelType w:val="hybridMultilevel"/>
    <w:tmpl w:val="DC94D2BA"/>
    <w:lvl w:ilvl="0" w:tplc="D95AF75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9687FE">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322562">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22714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4F39C">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4BF20">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E0371E">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50EE30">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EDB84">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0D399B"/>
    <w:multiLevelType w:val="hybridMultilevel"/>
    <w:tmpl w:val="6316CFBC"/>
    <w:lvl w:ilvl="0" w:tplc="05003BF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705C80">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BAA028">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8C85B6">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86E1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2CFE32">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7E37DE">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8121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F8789A">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5F2C4D"/>
    <w:multiLevelType w:val="singleLevel"/>
    <w:tmpl w:val="86DC0C68"/>
    <w:lvl w:ilvl="0">
      <w:start w:val="1"/>
      <w:numFmt w:val="decimal"/>
      <w:lvlText w:val="%1)"/>
      <w:lvlJc w:val="left"/>
      <w:pPr>
        <w:tabs>
          <w:tab w:val="num" w:pos="540"/>
        </w:tabs>
        <w:ind w:left="540" w:hanging="540"/>
      </w:pPr>
      <w:rPr>
        <w:rFonts w:hint="default"/>
      </w:rPr>
    </w:lvl>
  </w:abstractNum>
  <w:abstractNum w:abstractNumId="6" w15:restartNumberingAfterBreak="0">
    <w:nsid w:val="6AE34AE6"/>
    <w:multiLevelType w:val="hybridMultilevel"/>
    <w:tmpl w:val="5D8647B6"/>
    <w:lvl w:ilvl="0" w:tplc="869C9AC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3049B6">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16E9D4">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ADAA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86950">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E29122">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12B014">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B4A4AC">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0C6B1A">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62129D9"/>
    <w:multiLevelType w:val="hybridMultilevel"/>
    <w:tmpl w:val="2B085B54"/>
    <w:lvl w:ilvl="0" w:tplc="FE2A4B5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20BCC">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367156">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0FF62">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84CA0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F09DC4">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3AC44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6F2F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ACE07A">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A3"/>
    <w:rsid w:val="000067B0"/>
    <w:rsid w:val="00016EC2"/>
    <w:rsid w:val="00017A2E"/>
    <w:rsid w:val="00022048"/>
    <w:rsid w:val="00024B59"/>
    <w:rsid w:val="0003259B"/>
    <w:rsid w:val="00042F5C"/>
    <w:rsid w:val="000467BE"/>
    <w:rsid w:val="00061CCF"/>
    <w:rsid w:val="000A6E45"/>
    <w:rsid w:val="000B5E50"/>
    <w:rsid w:val="000B616F"/>
    <w:rsid w:val="000C2676"/>
    <w:rsid w:val="000C42AB"/>
    <w:rsid w:val="000F1C70"/>
    <w:rsid w:val="000F2E07"/>
    <w:rsid w:val="000F59D4"/>
    <w:rsid w:val="00103541"/>
    <w:rsid w:val="00114021"/>
    <w:rsid w:val="00140CDC"/>
    <w:rsid w:val="00142D37"/>
    <w:rsid w:val="00154BA9"/>
    <w:rsid w:val="00154F71"/>
    <w:rsid w:val="00170FDA"/>
    <w:rsid w:val="00181684"/>
    <w:rsid w:val="00190F74"/>
    <w:rsid w:val="00195F69"/>
    <w:rsid w:val="001A1FB3"/>
    <w:rsid w:val="001A43D0"/>
    <w:rsid w:val="001A7463"/>
    <w:rsid w:val="001C20B7"/>
    <w:rsid w:val="001D34E5"/>
    <w:rsid w:val="001D5370"/>
    <w:rsid w:val="001E21FC"/>
    <w:rsid w:val="001E272A"/>
    <w:rsid w:val="001F0537"/>
    <w:rsid w:val="001F35FE"/>
    <w:rsid w:val="00235E0F"/>
    <w:rsid w:val="00241372"/>
    <w:rsid w:val="00244563"/>
    <w:rsid w:val="00253B21"/>
    <w:rsid w:val="00257AEF"/>
    <w:rsid w:val="00262841"/>
    <w:rsid w:val="00262E6D"/>
    <w:rsid w:val="00266EE2"/>
    <w:rsid w:val="002837D9"/>
    <w:rsid w:val="00293F04"/>
    <w:rsid w:val="00296162"/>
    <w:rsid w:val="002A304A"/>
    <w:rsid w:val="002D106F"/>
    <w:rsid w:val="002F0806"/>
    <w:rsid w:val="00301538"/>
    <w:rsid w:val="003051A3"/>
    <w:rsid w:val="0031062B"/>
    <w:rsid w:val="00321C0D"/>
    <w:rsid w:val="00323E4A"/>
    <w:rsid w:val="003374A6"/>
    <w:rsid w:val="0034077E"/>
    <w:rsid w:val="00346FDA"/>
    <w:rsid w:val="00351F27"/>
    <w:rsid w:val="0036058B"/>
    <w:rsid w:val="00364815"/>
    <w:rsid w:val="00367067"/>
    <w:rsid w:val="0037393A"/>
    <w:rsid w:val="003820B2"/>
    <w:rsid w:val="00395F7E"/>
    <w:rsid w:val="003B0D8C"/>
    <w:rsid w:val="003C69E3"/>
    <w:rsid w:val="003D7E33"/>
    <w:rsid w:val="003E7CE0"/>
    <w:rsid w:val="004266B9"/>
    <w:rsid w:val="004357F7"/>
    <w:rsid w:val="004440ED"/>
    <w:rsid w:val="00456483"/>
    <w:rsid w:val="004632BE"/>
    <w:rsid w:val="004721B3"/>
    <w:rsid w:val="004734D2"/>
    <w:rsid w:val="00487D43"/>
    <w:rsid w:val="00491FA1"/>
    <w:rsid w:val="00494859"/>
    <w:rsid w:val="004A7598"/>
    <w:rsid w:val="004B6CE0"/>
    <w:rsid w:val="004C30A7"/>
    <w:rsid w:val="004D2E74"/>
    <w:rsid w:val="004D79BC"/>
    <w:rsid w:val="004F0E1D"/>
    <w:rsid w:val="004F3D04"/>
    <w:rsid w:val="004F69C7"/>
    <w:rsid w:val="004F6E5D"/>
    <w:rsid w:val="004F75D2"/>
    <w:rsid w:val="005066FB"/>
    <w:rsid w:val="00553E1F"/>
    <w:rsid w:val="0055616D"/>
    <w:rsid w:val="00556211"/>
    <w:rsid w:val="0056174A"/>
    <w:rsid w:val="00583257"/>
    <w:rsid w:val="005921A3"/>
    <w:rsid w:val="005A0A62"/>
    <w:rsid w:val="005A1C17"/>
    <w:rsid w:val="005A4583"/>
    <w:rsid w:val="005A608F"/>
    <w:rsid w:val="005D1953"/>
    <w:rsid w:val="005D2B91"/>
    <w:rsid w:val="005D752E"/>
    <w:rsid w:val="005D7AEF"/>
    <w:rsid w:val="005F1B2D"/>
    <w:rsid w:val="005F4D2C"/>
    <w:rsid w:val="0063671E"/>
    <w:rsid w:val="00641117"/>
    <w:rsid w:val="006545C3"/>
    <w:rsid w:val="00661A66"/>
    <w:rsid w:val="006678A5"/>
    <w:rsid w:val="00674EF5"/>
    <w:rsid w:val="00690DA3"/>
    <w:rsid w:val="006910A0"/>
    <w:rsid w:val="006B1A49"/>
    <w:rsid w:val="006B2BAA"/>
    <w:rsid w:val="006B5691"/>
    <w:rsid w:val="006C3EE2"/>
    <w:rsid w:val="006C3FCD"/>
    <w:rsid w:val="006F3FDB"/>
    <w:rsid w:val="006F4F4D"/>
    <w:rsid w:val="00701D32"/>
    <w:rsid w:val="00705A85"/>
    <w:rsid w:val="0070689E"/>
    <w:rsid w:val="00724CE4"/>
    <w:rsid w:val="007266FF"/>
    <w:rsid w:val="0073129D"/>
    <w:rsid w:val="00733DE8"/>
    <w:rsid w:val="00740126"/>
    <w:rsid w:val="00744C9A"/>
    <w:rsid w:val="00767B8E"/>
    <w:rsid w:val="00772B14"/>
    <w:rsid w:val="00776ABE"/>
    <w:rsid w:val="00777620"/>
    <w:rsid w:val="00782AA6"/>
    <w:rsid w:val="007910EC"/>
    <w:rsid w:val="00791EFA"/>
    <w:rsid w:val="007949F4"/>
    <w:rsid w:val="007A26AB"/>
    <w:rsid w:val="007B5A75"/>
    <w:rsid w:val="007C7ED2"/>
    <w:rsid w:val="007E7403"/>
    <w:rsid w:val="00802867"/>
    <w:rsid w:val="00804E3D"/>
    <w:rsid w:val="008061CC"/>
    <w:rsid w:val="00826948"/>
    <w:rsid w:val="00830559"/>
    <w:rsid w:val="00843541"/>
    <w:rsid w:val="008451CA"/>
    <w:rsid w:val="008567AE"/>
    <w:rsid w:val="00857FFD"/>
    <w:rsid w:val="008657B5"/>
    <w:rsid w:val="0089361A"/>
    <w:rsid w:val="00894E57"/>
    <w:rsid w:val="008B35D7"/>
    <w:rsid w:val="008C4012"/>
    <w:rsid w:val="008F3C41"/>
    <w:rsid w:val="008F66B8"/>
    <w:rsid w:val="00917A0B"/>
    <w:rsid w:val="00942D0C"/>
    <w:rsid w:val="00953055"/>
    <w:rsid w:val="00965331"/>
    <w:rsid w:val="00986A4C"/>
    <w:rsid w:val="0099498C"/>
    <w:rsid w:val="009A49C5"/>
    <w:rsid w:val="009C712A"/>
    <w:rsid w:val="009D387E"/>
    <w:rsid w:val="009D6760"/>
    <w:rsid w:val="009E0471"/>
    <w:rsid w:val="00A00AF3"/>
    <w:rsid w:val="00A31E07"/>
    <w:rsid w:val="00A719BD"/>
    <w:rsid w:val="00A771F2"/>
    <w:rsid w:val="00A96C26"/>
    <w:rsid w:val="00AB09B8"/>
    <w:rsid w:val="00AB28AD"/>
    <w:rsid w:val="00AC3CE3"/>
    <w:rsid w:val="00AD3BE0"/>
    <w:rsid w:val="00B02971"/>
    <w:rsid w:val="00B13D76"/>
    <w:rsid w:val="00B14425"/>
    <w:rsid w:val="00B21255"/>
    <w:rsid w:val="00B23E80"/>
    <w:rsid w:val="00B47529"/>
    <w:rsid w:val="00B60C72"/>
    <w:rsid w:val="00B61158"/>
    <w:rsid w:val="00B720B9"/>
    <w:rsid w:val="00B84B4E"/>
    <w:rsid w:val="00B908D5"/>
    <w:rsid w:val="00BB1EF4"/>
    <w:rsid w:val="00BD57AB"/>
    <w:rsid w:val="00BE4932"/>
    <w:rsid w:val="00BF46F7"/>
    <w:rsid w:val="00C00080"/>
    <w:rsid w:val="00C059A4"/>
    <w:rsid w:val="00C11AF2"/>
    <w:rsid w:val="00C1401D"/>
    <w:rsid w:val="00C32542"/>
    <w:rsid w:val="00C81D1B"/>
    <w:rsid w:val="00C87643"/>
    <w:rsid w:val="00C93EC4"/>
    <w:rsid w:val="00CB0FA9"/>
    <w:rsid w:val="00CE5812"/>
    <w:rsid w:val="00D47E89"/>
    <w:rsid w:val="00D51CD1"/>
    <w:rsid w:val="00D60700"/>
    <w:rsid w:val="00D61E18"/>
    <w:rsid w:val="00D66FD7"/>
    <w:rsid w:val="00D9496F"/>
    <w:rsid w:val="00DA7A29"/>
    <w:rsid w:val="00DB539F"/>
    <w:rsid w:val="00DD3DEF"/>
    <w:rsid w:val="00DE75B6"/>
    <w:rsid w:val="00DF663B"/>
    <w:rsid w:val="00E00CA7"/>
    <w:rsid w:val="00E146DB"/>
    <w:rsid w:val="00E3294C"/>
    <w:rsid w:val="00E347BE"/>
    <w:rsid w:val="00E367DF"/>
    <w:rsid w:val="00E40217"/>
    <w:rsid w:val="00E42358"/>
    <w:rsid w:val="00E51B2D"/>
    <w:rsid w:val="00E5388E"/>
    <w:rsid w:val="00E54539"/>
    <w:rsid w:val="00E73051"/>
    <w:rsid w:val="00E937DF"/>
    <w:rsid w:val="00EA5E9A"/>
    <w:rsid w:val="00EC26B0"/>
    <w:rsid w:val="00ED6F91"/>
    <w:rsid w:val="00EF1990"/>
    <w:rsid w:val="00F01C14"/>
    <w:rsid w:val="00F0571A"/>
    <w:rsid w:val="00F1259F"/>
    <w:rsid w:val="00F168E1"/>
    <w:rsid w:val="00F52CF2"/>
    <w:rsid w:val="00F64773"/>
    <w:rsid w:val="00F72FE3"/>
    <w:rsid w:val="00FA3BF3"/>
    <w:rsid w:val="00FD5C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CE66"/>
  <w15:docId w15:val="{8DB8849E-1FD7-4D7B-BDA5-9D9E4F0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990"/>
  </w:style>
  <w:style w:type="paragraph" w:styleId="Ttulo1">
    <w:name w:val="heading 1"/>
    <w:basedOn w:val="Normal"/>
    <w:next w:val="Normal"/>
    <w:link w:val="Ttulo1Char"/>
    <w:uiPriority w:val="9"/>
    <w:qFormat/>
    <w:rsid w:val="00190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3C69E3"/>
    <w:pPr>
      <w:keepNext/>
      <w:spacing w:after="0" w:line="240" w:lineRule="auto"/>
      <w:ind w:right="51"/>
      <w:jc w:val="both"/>
      <w:outlineLvl w:val="3"/>
    </w:pPr>
    <w:rPr>
      <w:rFonts w:ascii="Arial" w:eastAsia="Times New Roman" w:hAnsi="Arial" w:cs="Arial"/>
      <w:bCs/>
      <w:sz w:val="24"/>
      <w:szCs w:val="20"/>
      <w:lang w:eastAsia="pt-BR"/>
    </w:rPr>
  </w:style>
  <w:style w:type="paragraph" w:styleId="Ttulo5">
    <w:name w:val="heading 5"/>
    <w:basedOn w:val="Normal"/>
    <w:next w:val="Normal"/>
    <w:link w:val="Ttulo5Char"/>
    <w:qFormat/>
    <w:rsid w:val="003C69E3"/>
    <w:pPr>
      <w:keepNext/>
      <w:spacing w:after="0" w:line="240" w:lineRule="auto"/>
      <w:ind w:right="51"/>
      <w:jc w:val="center"/>
      <w:outlineLvl w:val="4"/>
    </w:pPr>
    <w:rPr>
      <w:rFonts w:ascii="Arial" w:eastAsia="Times New Roman" w:hAnsi="Arial" w:cs="Arial"/>
      <w:b/>
      <w:sz w:val="24"/>
      <w:szCs w:val="20"/>
      <w:lang w:eastAsia="pt-BR"/>
    </w:rPr>
  </w:style>
  <w:style w:type="paragraph" w:styleId="Ttulo7">
    <w:name w:val="heading 7"/>
    <w:basedOn w:val="Normal"/>
    <w:next w:val="Normal"/>
    <w:link w:val="Ttulo7Char"/>
    <w:qFormat/>
    <w:rsid w:val="003C69E3"/>
    <w:pPr>
      <w:keepNext/>
      <w:spacing w:after="0" w:line="320" w:lineRule="exact"/>
      <w:outlineLvl w:val="6"/>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42358"/>
    <w:pPr>
      <w:widowControl w:val="0"/>
      <w:spacing w:after="0" w:line="240" w:lineRule="auto"/>
    </w:pPr>
    <w:rPr>
      <w:rFonts w:ascii="Courier New" w:eastAsia="Times New Roman" w:hAnsi="Courier New" w:cs="Times New Roman"/>
      <w:snapToGrid w:val="0"/>
      <w:sz w:val="20"/>
      <w:szCs w:val="20"/>
    </w:rPr>
  </w:style>
  <w:style w:type="character" w:customStyle="1" w:styleId="TextosemFormataoChar">
    <w:name w:val="Texto sem Formatação Char"/>
    <w:basedOn w:val="Fontepargpadro"/>
    <w:link w:val="TextosemFormatao"/>
    <w:rsid w:val="00E42358"/>
    <w:rPr>
      <w:rFonts w:ascii="Courier New" w:eastAsia="Times New Roman" w:hAnsi="Courier New" w:cs="Times New Roman"/>
      <w:snapToGrid w:val="0"/>
      <w:sz w:val="20"/>
      <w:szCs w:val="20"/>
    </w:rPr>
  </w:style>
  <w:style w:type="paragraph" w:styleId="Recuodecorpodetexto2">
    <w:name w:val="Body Text Indent 2"/>
    <w:basedOn w:val="Normal"/>
    <w:link w:val="Recuodecorpodetexto2Char"/>
    <w:rsid w:val="00E42358"/>
    <w:pPr>
      <w:widowControl w:val="0"/>
      <w:spacing w:after="120" w:line="480" w:lineRule="auto"/>
      <w:ind w:left="283"/>
    </w:pPr>
    <w:rPr>
      <w:rFonts w:ascii="Times New Roman" w:eastAsia="Times New Roman" w:hAnsi="Times New Roman" w:cs="Times New Roman"/>
      <w:snapToGrid w:val="0"/>
      <w:sz w:val="20"/>
      <w:szCs w:val="20"/>
      <w:lang w:eastAsia="pt-BR"/>
    </w:rPr>
  </w:style>
  <w:style w:type="character" w:customStyle="1" w:styleId="Recuodecorpodetexto2Char">
    <w:name w:val="Recuo de corpo de texto 2 Char"/>
    <w:basedOn w:val="Fontepargpadro"/>
    <w:link w:val="Recuodecorpodetexto2"/>
    <w:rsid w:val="00E42358"/>
    <w:rPr>
      <w:rFonts w:ascii="Times New Roman" w:eastAsia="Times New Roman" w:hAnsi="Times New Roman" w:cs="Times New Roman"/>
      <w:snapToGrid w:val="0"/>
      <w:sz w:val="20"/>
      <w:szCs w:val="20"/>
      <w:lang w:eastAsia="pt-BR"/>
    </w:rPr>
  </w:style>
  <w:style w:type="table" w:styleId="Tabelacomgrade">
    <w:name w:val="Table Grid"/>
    <w:basedOn w:val="Tabelanormal"/>
    <w:uiPriority w:val="59"/>
    <w:rsid w:val="00DB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3C69E3"/>
    <w:rPr>
      <w:rFonts w:ascii="Arial" w:eastAsia="Times New Roman" w:hAnsi="Arial" w:cs="Arial"/>
      <w:bCs/>
      <w:sz w:val="24"/>
      <w:szCs w:val="20"/>
      <w:lang w:eastAsia="pt-BR"/>
    </w:rPr>
  </w:style>
  <w:style w:type="character" w:customStyle="1" w:styleId="Ttulo5Char">
    <w:name w:val="Título 5 Char"/>
    <w:basedOn w:val="Fontepargpadro"/>
    <w:link w:val="Ttulo5"/>
    <w:rsid w:val="003C69E3"/>
    <w:rPr>
      <w:rFonts w:ascii="Arial" w:eastAsia="Times New Roman" w:hAnsi="Arial" w:cs="Arial"/>
      <w:b/>
      <w:sz w:val="24"/>
      <w:szCs w:val="20"/>
      <w:lang w:eastAsia="pt-BR"/>
    </w:rPr>
  </w:style>
  <w:style w:type="character" w:customStyle="1" w:styleId="Ttulo7Char">
    <w:name w:val="Título 7 Char"/>
    <w:basedOn w:val="Fontepargpadro"/>
    <w:link w:val="Ttulo7"/>
    <w:rsid w:val="003C69E3"/>
    <w:rPr>
      <w:rFonts w:ascii="Times New Roman" w:eastAsia="Times New Roman" w:hAnsi="Times New Roman" w:cs="Times New Roman"/>
      <w:sz w:val="24"/>
      <w:szCs w:val="20"/>
      <w:lang w:eastAsia="pt-BR"/>
    </w:rPr>
  </w:style>
  <w:style w:type="paragraph" w:styleId="Textodebalo">
    <w:name w:val="Balloon Text"/>
    <w:basedOn w:val="Normal"/>
    <w:link w:val="TextodebaloChar"/>
    <w:unhideWhenUsed/>
    <w:rsid w:val="003C69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C69E3"/>
    <w:rPr>
      <w:rFonts w:ascii="Segoe UI" w:hAnsi="Segoe UI" w:cs="Segoe UI"/>
      <w:sz w:val="18"/>
      <w:szCs w:val="18"/>
    </w:rPr>
  </w:style>
  <w:style w:type="paragraph" w:styleId="Cabealho">
    <w:name w:val="header"/>
    <w:basedOn w:val="Normal"/>
    <w:link w:val="CabealhoChar"/>
    <w:uiPriority w:val="99"/>
    <w:unhideWhenUsed/>
    <w:rsid w:val="003C6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9E3"/>
  </w:style>
  <w:style w:type="paragraph" w:styleId="Rodap">
    <w:name w:val="footer"/>
    <w:basedOn w:val="Normal"/>
    <w:link w:val="RodapChar"/>
    <w:uiPriority w:val="99"/>
    <w:unhideWhenUsed/>
    <w:rsid w:val="003C69E3"/>
    <w:pPr>
      <w:tabs>
        <w:tab w:val="center" w:pos="4252"/>
        <w:tab w:val="right" w:pos="8504"/>
      </w:tabs>
      <w:spacing w:after="0" w:line="240" w:lineRule="auto"/>
    </w:pPr>
  </w:style>
  <w:style w:type="character" w:customStyle="1" w:styleId="RodapChar">
    <w:name w:val="Rodapé Char"/>
    <w:basedOn w:val="Fontepargpadro"/>
    <w:link w:val="Rodap"/>
    <w:uiPriority w:val="99"/>
    <w:rsid w:val="003C69E3"/>
  </w:style>
  <w:style w:type="paragraph" w:styleId="Textoembloco">
    <w:name w:val="Block Text"/>
    <w:basedOn w:val="Normal"/>
    <w:rsid w:val="003C69E3"/>
    <w:pPr>
      <w:spacing w:after="0" w:line="240" w:lineRule="auto"/>
      <w:ind w:left="4536" w:right="51"/>
      <w:jc w:val="both"/>
    </w:pPr>
    <w:rPr>
      <w:rFonts w:ascii="Arial" w:eastAsia="Times New Roman" w:hAnsi="Arial" w:cs="Arial"/>
      <w:b/>
      <w:bCs/>
      <w:sz w:val="24"/>
      <w:szCs w:val="20"/>
      <w:lang w:eastAsia="pt-BR"/>
    </w:rPr>
  </w:style>
  <w:style w:type="paragraph" w:styleId="Recuodecorpodetexto3">
    <w:name w:val="Body Text Indent 3"/>
    <w:basedOn w:val="Normal"/>
    <w:link w:val="Recuodecorpodetexto3Char"/>
    <w:rsid w:val="003C69E3"/>
    <w:pPr>
      <w:spacing w:after="0" w:line="240" w:lineRule="auto"/>
      <w:ind w:right="51" w:firstLine="708"/>
      <w:jc w:val="both"/>
    </w:pPr>
    <w:rPr>
      <w:rFonts w:ascii="Arial" w:eastAsia="Times New Roman" w:hAnsi="Arial" w:cs="Arial"/>
      <w:sz w:val="24"/>
      <w:szCs w:val="20"/>
      <w:lang w:eastAsia="pt-BR"/>
    </w:rPr>
  </w:style>
  <w:style w:type="character" w:customStyle="1" w:styleId="Recuodecorpodetexto3Char">
    <w:name w:val="Recuo de corpo de texto 3 Char"/>
    <w:basedOn w:val="Fontepargpadro"/>
    <w:link w:val="Recuodecorpodetexto3"/>
    <w:rsid w:val="003C69E3"/>
    <w:rPr>
      <w:rFonts w:ascii="Arial" w:eastAsia="Times New Roman" w:hAnsi="Arial" w:cs="Arial"/>
      <w:sz w:val="24"/>
      <w:szCs w:val="20"/>
      <w:lang w:eastAsia="pt-BR"/>
    </w:rPr>
  </w:style>
  <w:style w:type="paragraph" w:styleId="Corpodetexto2">
    <w:name w:val="Body Text 2"/>
    <w:basedOn w:val="Normal"/>
    <w:link w:val="Corpodetexto2Char"/>
    <w:rsid w:val="003C69E3"/>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3C69E3"/>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3C69E3"/>
    <w:pPr>
      <w:spacing w:after="0" w:line="240" w:lineRule="auto"/>
      <w:ind w:right="51"/>
      <w:jc w:val="both"/>
    </w:pPr>
    <w:rPr>
      <w:rFonts w:ascii="Albertus Medium" w:eastAsia="Times New Roman" w:hAnsi="Albertus Medium" w:cs="Times New Roman"/>
      <w:sz w:val="20"/>
      <w:szCs w:val="20"/>
      <w:lang w:eastAsia="pt-BR"/>
    </w:rPr>
  </w:style>
  <w:style w:type="character" w:customStyle="1" w:styleId="CorpodetextoChar">
    <w:name w:val="Corpo de texto Char"/>
    <w:basedOn w:val="Fontepargpadro"/>
    <w:link w:val="Corpodetexto"/>
    <w:rsid w:val="003C69E3"/>
    <w:rPr>
      <w:rFonts w:ascii="Albertus Medium" w:eastAsia="Times New Roman" w:hAnsi="Albertus Medium" w:cs="Times New Roman"/>
      <w:sz w:val="20"/>
      <w:szCs w:val="20"/>
      <w:lang w:eastAsia="pt-BR"/>
    </w:rPr>
  </w:style>
  <w:style w:type="character" w:styleId="Nmerodepgina">
    <w:name w:val="page number"/>
    <w:basedOn w:val="Fontepargpadro"/>
    <w:rsid w:val="003C69E3"/>
  </w:style>
  <w:style w:type="character" w:styleId="Hyperlink">
    <w:name w:val="Hyperlink"/>
    <w:rsid w:val="003C69E3"/>
    <w:rPr>
      <w:color w:val="0000FF"/>
      <w:u w:val="single"/>
    </w:rPr>
  </w:style>
  <w:style w:type="paragraph" w:styleId="PargrafodaLista">
    <w:name w:val="List Paragraph"/>
    <w:basedOn w:val="Normal"/>
    <w:uiPriority w:val="34"/>
    <w:qFormat/>
    <w:rsid w:val="003C69E3"/>
    <w:pPr>
      <w:spacing w:after="0" w:line="240" w:lineRule="auto"/>
      <w:ind w:left="720"/>
      <w:contextualSpacing/>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374A6"/>
    <w:pPr>
      <w:spacing w:after="120"/>
    </w:pPr>
    <w:rPr>
      <w:sz w:val="16"/>
      <w:szCs w:val="16"/>
    </w:rPr>
  </w:style>
  <w:style w:type="character" w:customStyle="1" w:styleId="Corpodetexto3Char">
    <w:name w:val="Corpo de texto 3 Char"/>
    <w:basedOn w:val="Fontepargpadro"/>
    <w:link w:val="Corpodetexto3"/>
    <w:uiPriority w:val="99"/>
    <w:semiHidden/>
    <w:rsid w:val="003374A6"/>
    <w:rPr>
      <w:sz w:val="16"/>
      <w:szCs w:val="16"/>
    </w:rPr>
  </w:style>
  <w:style w:type="character" w:customStyle="1" w:styleId="Ttulo1Char">
    <w:name w:val="Título 1 Char"/>
    <w:basedOn w:val="Fontepargpadro"/>
    <w:link w:val="Ttulo1"/>
    <w:uiPriority w:val="9"/>
    <w:rsid w:val="00190F74"/>
    <w:rPr>
      <w:rFonts w:asciiTheme="majorHAnsi" w:eastAsiaTheme="majorEastAsia" w:hAnsiTheme="majorHAnsi" w:cstheme="majorBidi"/>
      <w:color w:val="365F91" w:themeColor="accent1" w:themeShade="BF"/>
      <w:sz w:val="32"/>
      <w:szCs w:val="32"/>
    </w:rPr>
  </w:style>
  <w:style w:type="paragraph" w:customStyle="1" w:styleId="Default">
    <w:name w:val="Default"/>
    <w:rsid w:val="00022048"/>
    <w:pPr>
      <w:autoSpaceDE w:val="0"/>
      <w:autoSpaceDN w:val="0"/>
      <w:adjustRightInd w:val="0"/>
      <w:spacing w:after="0" w:line="240" w:lineRule="auto"/>
    </w:pPr>
    <w:rPr>
      <w:rFonts w:ascii="Garamond" w:hAnsi="Garamond" w:cs="Garamond"/>
      <w:color w:val="000000"/>
      <w:sz w:val="24"/>
      <w:szCs w:val="24"/>
    </w:rPr>
  </w:style>
  <w:style w:type="table" w:customStyle="1" w:styleId="TableGrid">
    <w:name w:val="TableGrid"/>
    <w:rsid w:val="00E146DB"/>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AAA4-7770-4993-910B-9587B0CF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Cliente</cp:lastModifiedBy>
  <cp:revision>3</cp:revision>
  <cp:lastPrinted>2023-07-25T12:43:00Z</cp:lastPrinted>
  <dcterms:created xsi:type="dcterms:W3CDTF">2023-07-25T12:47:00Z</dcterms:created>
  <dcterms:modified xsi:type="dcterms:W3CDTF">2023-07-31T12:08:00Z</dcterms:modified>
</cp:coreProperties>
</file>