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5938" w14:textId="1B170F6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PORTARIA </w:t>
      </w:r>
      <w:r w:rsidRPr="009944B5">
        <w:rPr>
          <w:rFonts w:ascii="Courier New" w:eastAsia="Courier New" w:hAnsi="Courier New" w:cs="Courier New"/>
          <w:b/>
          <w:sz w:val="22"/>
          <w:szCs w:val="22"/>
        </w:rPr>
        <w:t xml:space="preserve">Nº </w:t>
      </w:r>
      <w:r w:rsidR="0015770A" w:rsidRPr="0015770A">
        <w:rPr>
          <w:rFonts w:ascii="Courier New" w:eastAsia="Courier New" w:hAnsi="Courier New" w:cs="Courier New"/>
          <w:b/>
          <w:sz w:val="22"/>
          <w:szCs w:val="22"/>
        </w:rPr>
        <w:t>1653</w:t>
      </w:r>
      <w:r w:rsidRPr="0015770A">
        <w:rPr>
          <w:rFonts w:ascii="Courier New" w:eastAsia="Courier New" w:hAnsi="Courier New" w:cs="Courier New"/>
          <w:b/>
          <w:sz w:val="22"/>
          <w:szCs w:val="22"/>
        </w:rPr>
        <w:t xml:space="preserve">/2022 - DE </w:t>
      </w:r>
      <w:r w:rsidR="0015770A" w:rsidRPr="0015770A">
        <w:rPr>
          <w:rFonts w:ascii="Courier New" w:eastAsia="Courier New" w:hAnsi="Courier New" w:cs="Courier New"/>
          <w:b/>
          <w:sz w:val="22"/>
          <w:szCs w:val="22"/>
        </w:rPr>
        <w:t>21</w:t>
      </w:r>
      <w:r w:rsidRPr="0015770A">
        <w:rPr>
          <w:rFonts w:ascii="Courier New" w:eastAsia="Courier New" w:hAnsi="Courier New" w:cs="Courier New"/>
          <w:b/>
          <w:sz w:val="22"/>
          <w:szCs w:val="22"/>
        </w:rPr>
        <w:t xml:space="preserve"> DE </w:t>
      </w:r>
      <w:r w:rsidR="0015770A" w:rsidRPr="0015770A">
        <w:rPr>
          <w:rFonts w:ascii="Courier New" w:eastAsia="Courier New" w:hAnsi="Courier New" w:cs="Courier New"/>
          <w:b/>
          <w:sz w:val="22"/>
          <w:szCs w:val="22"/>
        </w:rPr>
        <w:t>DEZEMBRO</w:t>
      </w:r>
      <w:r w:rsidRPr="0015770A">
        <w:rPr>
          <w:rFonts w:ascii="Courier New" w:eastAsia="Courier New" w:hAnsi="Courier New" w:cs="Courier New"/>
          <w:b/>
          <w:sz w:val="22"/>
          <w:szCs w:val="22"/>
        </w:rPr>
        <w:t xml:space="preserve"> DE 2022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.</w:t>
      </w:r>
    </w:p>
    <w:p w14:paraId="051C7750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3019F3DC" w14:textId="77777777" w:rsidR="00C7726F" w:rsidRPr="009944B5" w:rsidRDefault="00C7726F" w:rsidP="00C7726F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ESTABELECE LOCAL DE TRABALHO AOS PROFESSORES DA REDE MUNICIPAL DE ENCINO DURANTE O RECESSO DOS ESTUDANTES E DÁ OUTRAS PROVIDÊNCIAS.</w:t>
      </w:r>
    </w:p>
    <w:p w14:paraId="6EAD0771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7F036468" w14:textId="77777777" w:rsidR="00C7726F" w:rsidRPr="00F81DC8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F81DC8">
        <w:rPr>
          <w:rFonts w:ascii="Courier New" w:hAnsi="Courier New" w:cs="Courier New"/>
          <w:sz w:val="22"/>
        </w:rPr>
        <w:t>O Prefeito Municipal de Quilombo, Estado de Santa Catarina, no uso de suas atribuições legais que lhe conferem o Inciso IX do Artigo 65 da Lei Org</w:t>
      </w:r>
      <w:r>
        <w:rPr>
          <w:rFonts w:ascii="Courier New" w:hAnsi="Courier New" w:cs="Courier New"/>
          <w:sz w:val="22"/>
        </w:rPr>
        <w:t>ânica do Município de Quilombo,</w:t>
      </w:r>
    </w:p>
    <w:p w14:paraId="402FF705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0B2463CB" w14:textId="5FF2FD55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Considerando </w:t>
      </w:r>
      <w:r>
        <w:rPr>
          <w:rFonts w:ascii="Courier New" w:eastAsia="Courier New" w:hAnsi="Courier New" w:cs="Courier New"/>
          <w:sz w:val="22"/>
          <w:szCs w:val="22"/>
        </w:rPr>
        <w:t>que o período de recesso escolar dos estudantes da rede municipal está previsto no calendário escolar de 1</w:t>
      </w:r>
      <w:r w:rsidR="00BC0475">
        <w:rPr>
          <w:rFonts w:ascii="Courier New" w:eastAsia="Courier New" w:hAnsi="Courier New" w:cs="Courier New"/>
          <w:sz w:val="22"/>
          <w:szCs w:val="22"/>
        </w:rPr>
        <w:t xml:space="preserve">9 de </w:t>
      </w:r>
      <w:r w:rsidR="0053735F">
        <w:rPr>
          <w:rFonts w:ascii="Courier New" w:eastAsia="Courier New" w:hAnsi="Courier New" w:cs="Courier New"/>
          <w:sz w:val="22"/>
          <w:szCs w:val="22"/>
        </w:rPr>
        <w:t>dezembro</w:t>
      </w:r>
      <w:r w:rsidR="00BC0475">
        <w:rPr>
          <w:rFonts w:ascii="Courier New" w:eastAsia="Courier New" w:hAnsi="Courier New" w:cs="Courier New"/>
          <w:sz w:val="22"/>
          <w:szCs w:val="22"/>
        </w:rPr>
        <w:t xml:space="preserve"> de 2022</w:t>
      </w:r>
      <w:r>
        <w:rPr>
          <w:rFonts w:ascii="Courier New" w:eastAsia="Courier New" w:hAnsi="Courier New" w:cs="Courier New"/>
          <w:sz w:val="22"/>
          <w:szCs w:val="22"/>
        </w:rPr>
        <w:t xml:space="preserve"> à </w:t>
      </w:r>
      <w:r w:rsidR="00BC0475">
        <w:rPr>
          <w:rFonts w:ascii="Courier New" w:eastAsia="Courier New" w:hAnsi="Courier New" w:cs="Courier New"/>
          <w:sz w:val="22"/>
          <w:szCs w:val="22"/>
        </w:rPr>
        <w:t>05</w:t>
      </w:r>
      <w:r>
        <w:rPr>
          <w:rFonts w:ascii="Courier New" w:eastAsia="Courier New" w:hAnsi="Courier New" w:cs="Courier New"/>
          <w:sz w:val="22"/>
          <w:szCs w:val="22"/>
        </w:rPr>
        <w:t xml:space="preserve"> de </w:t>
      </w:r>
      <w:r w:rsidR="00BC0475">
        <w:rPr>
          <w:rFonts w:ascii="Courier New" w:eastAsia="Courier New" w:hAnsi="Courier New" w:cs="Courier New"/>
          <w:sz w:val="22"/>
          <w:szCs w:val="22"/>
        </w:rPr>
        <w:t xml:space="preserve">fevereiro </w:t>
      </w:r>
      <w:r>
        <w:rPr>
          <w:rFonts w:ascii="Courier New" w:eastAsia="Courier New" w:hAnsi="Courier New" w:cs="Courier New"/>
          <w:sz w:val="22"/>
          <w:szCs w:val="22"/>
        </w:rPr>
        <w:t>de 2022.</w:t>
      </w:r>
    </w:p>
    <w:p w14:paraId="0E152895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0B56BD7" w14:textId="2FFD6D49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FF0000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</w:p>
    <w:p w14:paraId="3AF6F464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R E S O L V E:</w:t>
      </w:r>
    </w:p>
    <w:p w14:paraId="2F0A7FA3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40CF6BDA" w14:textId="65A84552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Art. 1º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AUTORIZAR, na semana de (</w:t>
      </w:r>
      <w:r w:rsidR="00BC0475">
        <w:rPr>
          <w:rFonts w:ascii="Courier New" w:eastAsia="Courier New" w:hAnsi="Courier New" w:cs="Courier New"/>
          <w:color w:val="000000"/>
          <w:sz w:val="22"/>
          <w:szCs w:val="22"/>
        </w:rPr>
        <w:t>26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r w:rsidR="003C7B23">
        <w:rPr>
          <w:rFonts w:ascii="Courier New" w:eastAsia="Courier New" w:hAnsi="Courier New" w:cs="Courier New"/>
          <w:color w:val="000000"/>
          <w:sz w:val="22"/>
          <w:szCs w:val="22"/>
        </w:rPr>
        <w:t>a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r w:rsidR="00BC0475">
        <w:rPr>
          <w:rFonts w:ascii="Courier New" w:eastAsia="Courier New" w:hAnsi="Courier New" w:cs="Courier New"/>
          <w:color w:val="000000"/>
          <w:sz w:val="22"/>
          <w:szCs w:val="22"/>
        </w:rPr>
        <w:t>30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de </w:t>
      </w:r>
      <w:r w:rsidR="00BC0475">
        <w:rPr>
          <w:rFonts w:ascii="Courier New" w:eastAsia="Courier New" w:hAnsi="Courier New" w:cs="Courier New"/>
          <w:color w:val="000000"/>
          <w:sz w:val="22"/>
          <w:szCs w:val="22"/>
        </w:rPr>
        <w:t>dezembro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de 2022), a trabalharem em </w:t>
      </w:r>
      <w:r>
        <w:rPr>
          <w:rFonts w:ascii="Courier New" w:eastAsia="Courier New" w:hAnsi="Courier New" w:cs="Courier New"/>
          <w:i/>
          <w:color w:val="000000"/>
          <w:sz w:val="22"/>
          <w:szCs w:val="22"/>
        </w:rPr>
        <w:t>home office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os (as) professores (as) da rede Municipal de Ensino constantes da relação abaixo, que exercem suas atividades junto ao Núcleo de Educação Infantil Pingo de Gente (Bairro bela Vista), Escola Municipal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Lageado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Garcia,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Pré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Vila Gaúcha, Escola Municipal Santo Agostinho, CEIM – Centro de Educação Infantil Branca de Neve, Escola Municipal Branca de </w:t>
      </w:r>
      <w:r w:rsidR="00BC0475">
        <w:rPr>
          <w:rFonts w:ascii="Courier New" w:eastAsia="Courier New" w:hAnsi="Courier New" w:cs="Courier New"/>
          <w:color w:val="000000"/>
          <w:sz w:val="22"/>
          <w:szCs w:val="22"/>
        </w:rPr>
        <w:t>N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eve e </w:t>
      </w:r>
      <w:r w:rsidR="0053735F">
        <w:rPr>
          <w:rFonts w:ascii="Courier New" w:eastAsia="Courier New" w:hAnsi="Courier New" w:cs="Courier New"/>
          <w:color w:val="000000"/>
          <w:sz w:val="22"/>
          <w:szCs w:val="22"/>
        </w:rPr>
        <w:t>Escola de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Arte.</w:t>
      </w:r>
    </w:p>
    <w:p w14:paraId="706969A7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4000D617" w14:textId="77777777" w:rsidR="007C4E3E" w:rsidRDefault="007C4E3E" w:rsidP="00C7726F">
      <w:pPr>
        <w:jc w:val="both"/>
        <w:rPr>
          <w:sz w:val="22"/>
          <w:szCs w:val="22"/>
        </w:rPr>
      </w:pPr>
    </w:p>
    <w:p w14:paraId="7B21FDD4" w14:textId="77777777" w:rsidR="007C4E3E" w:rsidRPr="009C3D9B" w:rsidRDefault="007C4E3E" w:rsidP="00C7726F">
      <w:pPr>
        <w:jc w:val="both"/>
        <w:rPr>
          <w:sz w:val="22"/>
          <w:szCs w:val="22"/>
        </w:rPr>
      </w:pPr>
      <w:bookmarkStart w:id="0" w:name="_Hlk122361333"/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Adenice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Spagnollo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Pasinato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6213A72C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Albani Maria Garbin;</w:t>
      </w:r>
    </w:p>
    <w:p w14:paraId="27013840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Andréia Casagrande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Cararo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74D7ACFD" w14:textId="77777777" w:rsidR="007C4E3E" w:rsidRPr="009C3D9B" w:rsidRDefault="007C4E3E" w:rsidP="00C7726F">
      <w:pPr>
        <w:jc w:val="both"/>
        <w:rPr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Angela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Maria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Bevilacqua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11145987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Antoninho Siviero;</w:t>
      </w:r>
    </w:p>
    <w:p w14:paraId="54BB4E02" w14:textId="53DB89F8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Beatriz de Oliveira Welter;</w:t>
      </w:r>
    </w:p>
    <w:p w14:paraId="2848D213" w14:textId="35DFD547" w:rsidR="00ED6C65" w:rsidRPr="009C3D9B" w:rsidRDefault="00ED6C65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Beatriz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Pasqualotto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Seraglio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;</w:t>
      </w:r>
    </w:p>
    <w:p w14:paraId="30AC84E2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Claudete Vieira Gonçalves dos Santos;</w:t>
      </w:r>
    </w:p>
    <w:p w14:paraId="6572A9FE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Claudia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Kely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Enderle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7AF05195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Daiane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Comunello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Casagrande;</w:t>
      </w:r>
    </w:p>
    <w:p w14:paraId="7076B8F0" w14:textId="77777777" w:rsidR="007C4E3E" w:rsidRPr="009C3D9B" w:rsidRDefault="007C4E3E" w:rsidP="00C7726F">
      <w:pPr>
        <w:jc w:val="both"/>
        <w:rPr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Darli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Maria Conte Paz;</w:t>
      </w:r>
    </w:p>
    <w:p w14:paraId="15A1BA1D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Décio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Micreivi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Chaves;</w:t>
      </w:r>
    </w:p>
    <w:p w14:paraId="786DA5CD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Diego Piacentini;</w:t>
      </w:r>
    </w:p>
    <w:p w14:paraId="217E9D50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Dionilda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Salete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Frigo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1165D903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Dirlei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Lucia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Vilbrantz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0B42FE7E" w14:textId="77777777" w:rsidR="007C4E3E" w:rsidRPr="009C3D9B" w:rsidRDefault="007C4E3E" w:rsidP="00C7726F">
      <w:pPr>
        <w:jc w:val="both"/>
        <w:rPr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Eider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Lanzarin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2429D64E" w14:textId="28FC1B94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Elisangela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Zilio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Dalla</w:t>
      </w:r>
      <w:r w:rsidR="00F12A53">
        <w:rPr>
          <w:rFonts w:ascii="Courier New" w:eastAsia="Courier New" w:hAnsi="Courier New" w:cs="Courier New"/>
          <w:sz w:val="22"/>
          <w:szCs w:val="22"/>
        </w:rPr>
        <w:t>c</w:t>
      </w:r>
      <w:r w:rsidRPr="009C3D9B">
        <w:rPr>
          <w:rFonts w:ascii="Courier New" w:eastAsia="Courier New" w:hAnsi="Courier New" w:cs="Courier New"/>
          <w:sz w:val="22"/>
          <w:szCs w:val="22"/>
        </w:rPr>
        <w:t>qua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740F4074" w14:textId="77777777" w:rsidR="007C4E3E" w:rsidRPr="009C3D9B" w:rsidRDefault="007C4E3E" w:rsidP="00C7726F">
      <w:pPr>
        <w:jc w:val="both"/>
        <w:rPr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Elizandro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Marmentini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0828A558" w14:textId="0D88733E" w:rsidR="007C4E3E" w:rsidRPr="009C3D9B" w:rsidRDefault="007C4E3E" w:rsidP="00C7726F">
      <w:pPr>
        <w:jc w:val="both"/>
        <w:rPr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G</w:t>
      </w:r>
      <w:r w:rsidR="00464D58">
        <w:rPr>
          <w:rFonts w:ascii="Courier New" w:eastAsia="Courier New" w:hAnsi="Courier New" w:cs="Courier New"/>
          <w:sz w:val="22"/>
          <w:szCs w:val="22"/>
        </w:rPr>
        <w:t>e</w:t>
      </w:r>
      <w:r w:rsidRPr="009C3D9B">
        <w:rPr>
          <w:rFonts w:ascii="Courier New" w:eastAsia="Courier New" w:hAnsi="Courier New" w:cs="Courier New"/>
          <w:sz w:val="22"/>
          <w:szCs w:val="22"/>
        </w:rPr>
        <w:t>nel</w:t>
      </w:r>
      <w:r w:rsidR="00111457">
        <w:rPr>
          <w:rFonts w:ascii="Courier New" w:eastAsia="Courier New" w:hAnsi="Courier New" w:cs="Courier New"/>
          <w:sz w:val="22"/>
          <w:szCs w:val="22"/>
        </w:rPr>
        <w:t>c</w:t>
      </w:r>
      <w:r w:rsidRPr="009C3D9B">
        <w:rPr>
          <w:rFonts w:ascii="Courier New" w:eastAsia="Courier New" w:hAnsi="Courier New" w:cs="Courier New"/>
          <w:sz w:val="22"/>
          <w:szCs w:val="22"/>
        </w:rPr>
        <w:t>i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Piccinin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Cella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1A5BD68C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Gilmar Pais;</w:t>
      </w:r>
    </w:p>
    <w:p w14:paraId="50426777" w14:textId="77777777" w:rsidR="007C4E3E" w:rsidRPr="009C3D9B" w:rsidRDefault="007C4E3E" w:rsidP="00C7726F">
      <w:pPr>
        <w:jc w:val="both"/>
        <w:rPr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Ivandra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Célia Cima;</w:t>
      </w:r>
    </w:p>
    <w:p w14:paraId="1E881953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João Carlos Dalla Costa;</w:t>
      </w:r>
    </w:p>
    <w:p w14:paraId="66403781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Jonas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Selivan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489E2C1A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Jucelia Aparecida Agnes Prestes;</w:t>
      </w:r>
    </w:p>
    <w:p w14:paraId="770EABEC" w14:textId="77777777" w:rsidR="007C4E3E" w:rsidRPr="009C3D9B" w:rsidRDefault="007C4E3E" w:rsidP="00C7726F">
      <w:pPr>
        <w:jc w:val="both"/>
        <w:rPr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Julina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Minoso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08E66BB5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Kátia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Dalponte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Rodrigues;</w:t>
      </w:r>
    </w:p>
    <w:p w14:paraId="0ABEB2AF" w14:textId="77777777" w:rsidR="007C4E3E" w:rsidRPr="009C3D9B" w:rsidRDefault="007C4E3E" w:rsidP="00C7726F">
      <w:pPr>
        <w:jc w:val="both"/>
        <w:rPr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Kely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Cristina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Beltrame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Gotz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50D99254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lastRenderedPageBreak/>
        <w:t>Leonides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Rossetto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Seganfredo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45CF878B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Lizandra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Marsaro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458FAFF8" w14:textId="1CE8F8B6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Luci Paula Golo; </w:t>
      </w:r>
    </w:p>
    <w:p w14:paraId="27F242F1" w14:textId="77777777" w:rsidR="004E4E38" w:rsidRDefault="004E4E38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Luciana Maria Dal Santo do Nascimento</w:t>
      </w:r>
    </w:p>
    <w:p w14:paraId="345E9A15" w14:textId="1534DC40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Madelaine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Conte Morgan;</w:t>
      </w:r>
    </w:p>
    <w:p w14:paraId="2C49DB11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Marcelo Rodrigues da Silva;</w:t>
      </w:r>
    </w:p>
    <w:p w14:paraId="2865E0F0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Margarete Roman Both;</w:t>
      </w:r>
    </w:p>
    <w:p w14:paraId="67730EC8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Maria de Lourdes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Campanholo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440B0651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Marli Besson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Sotoriva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75FE2E55" w14:textId="012D71BB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Marli Teresinha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Corioletti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Pazinato</w:t>
      </w:r>
      <w:proofErr w:type="spellEnd"/>
      <w:r w:rsidR="006933EB">
        <w:rPr>
          <w:rFonts w:ascii="Courier New" w:eastAsia="Courier New" w:hAnsi="Courier New" w:cs="Courier New"/>
          <w:sz w:val="22"/>
          <w:szCs w:val="22"/>
        </w:rPr>
        <w:t>;</w:t>
      </w:r>
    </w:p>
    <w:p w14:paraId="4770BF37" w14:textId="69493232" w:rsidR="006933EB" w:rsidRPr="009C3D9B" w:rsidRDefault="006933EB" w:rsidP="006933EB">
      <w:pPr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6933EB">
        <w:rPr>
          <w:rFonts w:ascii="Courier New" w:hAnsi="Courier New" w:cs="Courier New"/>
          <w:sz w:val="22"/>
          <w:szCs w:val="22"/>
        </w:rPr>
        <w:t>Miria</w:t>
      </w:r>
      <w:proofErr w:type="spellEnd"/>
      <w:r w:rsidRPr="006933E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6933EB">
        <w:rPr>
          <w:rFonts w:ascii="Courier New" w:hAnsi="Courier New" w:cs="Courier New"/>
          <w:sz w:val="22"/>
          <w:szCs w:val="22"/>
        </w:rPr>
        <w:t>Guidini</w:t>
      </w:r>
      <w:proofErr w:type="spellEnd"/>
      <w:r w:rsidRPr="006933E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6933EB">
        <w:rPr>
          <w:rFonts w:ascii="Courier New" w:hAnsi="Courier New" w:cs="Courier New"/>
          <w:sz w:val="22"/>
          <w:szCs w:val="22"/>
        </w:rPr>
        <w:t>Sotili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14:paraId="33447C13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Noeli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Tasca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Pansera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6558AEDB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Odete Maria David Paris;</w:t>
      </w:r>
    </w:p>
    <w:p w14:paraId="1638EC1E" w14:textId="77777777" w:rsidR="007C4E3E" w:rsidRPr="009C3D9B" w:rsidRDefault="007C4E3E" w:rsidP="00C7726F">
      <w:pPr>
        <w:jc w:val="both"/>
        <w:rPr>
          <w:sz w:val="22"/>
          <w:szCs w:val="22"/>
        </w:rPr>
      </w:pP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Ortenila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De Lima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Menoncin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20C6E53C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Rejane Daniel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Hilleshein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0954FA54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Rosa Maria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Tessaro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 xml:space="preserve"> de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Bortoli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1C141F97" w14:textId="6705DAE2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 xml:space="preserve">Rosane </w:t>
      </w:r>
      <w:proofErr w:type="spellStart"/>
      <w:r w:rsidRPr="009C3D9B">
        <w:rPr>
          <w:rFonts w:ascii="Courier New" w:eastAsia="Courier New" w:hAnsi="Courier New" w:cs="Courier New"/>
          <w:sz w:val="22"/>
          <w:szCs w:val="22"/>
        </w:rPr>
        <w:t>Tubin</w:t>
      </w:r>
      <w:proofErr w:type="spellEnd"/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66AB04FD" w14:textId="2F14E9B3" w:rsidR="00ED6C65" w:rsidRPr="009C3D9B" w:rsidRDefault="00ED6C65" w:rsidP="00C7726F">
      <w:pPr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Roseli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Faresin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;</w:t>
      </w:r>
    </w:p>
    <w:p w14:paraId="3FFEE80E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Silvana de Mello de Micheli;</w:t>
      </w:r>
    </w:p>
    <w:p w14:paraId="3119414C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Silvia Regina Rossetto;</w:t>
      </w:r>
    </w:p>
    <w:p w14:paraId="30EABCC7" w14:textId="45D0EE8C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Vera Gomes de Oliveira de Oliveira</w:t>
      </w:r>
      <w:r w:rsidR="00982AE9">
        <w:rPr>
          <w:rFonts w:ascii="Courier New" w:eastAsia="Courier New" w:hAnsi="Courier New" w:cs="Courier New"/>
          <w:sz w:val="22"/>
          <w:szCs w:val="22"/>
        </w:rPr>
        <w:t>.</w:t>
      </w:r>
    </w:p>
    <w:p w14:paraId="4472EAB9" w14:textId="77777777" w:rsidR="00C7726F" w:rsidRDefault="00C7726F" w:rsidP="00C7726F">
      <w:pPr>
        <w:jc w:val="both"/>
        <w:rPr>
          <w:sz w:val="22"/>
          <w:szCs w:val="22"/>
        </w:rPr>
      </w:pPr>
    </w:p>
    <w:bookmarkEnd w:id="0"/>
    <w:p w14:paraId="07A3950D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ab/>
      </w:r>
    </w:p>
    <w:p w14:paraId="2999BF08" w14:textId="19D20B8B" w:rsidR="00C7726F" w:rsidRPr="008808A5" w:rsidRDefault="00C7726F" w:rsidP="00C772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8808A5">
        <w:rPr>
          <w:rFonts w:ascii="Courier New" w:hAnsi="Courier New" w:cs="Courier New"/>
          <w:b/>
          <w:sz w:val="22"/>
        </w:rPr>
        <w:t>Parágrafo Único</w:t>
      </w:r>
      <w:r>
        <w:rPr>
          <w:rFonts w:ascii="Courier New" w:hAnsi="Courier New" w:cs="Courier New"/>
          <w:b/>
          <w:sz w:val="22"/>
        </w:rPr>
        <w:t>.</w:t>
      </w:r>
      <w:r w:rsidRPr="008808A5">
        <w:rPr>
          <w:rFonts w:ascii="Courier New" w:hAnsi="Courier New" w:cs="Courier New"/>
          <w:b/>
          <w:sz w:val="22"/>
        </w:rPr>
        <w:t xml:space="preserve"> </w:t>
      </w:r>
      <w:r w:rsidRPr="008808A5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O</w:t>
      </w:r>
      <w:r w:rsidR="00982AE9">
        <w:rPr>
          <w:rFonts w:ascii="Courier New" w:hAnsi="Courier New" w:cs="Courier New"/>
          <w:sz w:val="22"/>
        </w:rPr>
        <w:t>s</w:t>
      </w:r>
      <w:r>
        <w:rPr>
          <w:rFonts w:ascii="Courier New" w:hAnsi="Courier New" w:cs="Courier New"/>
          <w:sz w:val="22"/>
        </w:rPr>
        <w:t xml:space="preserve"> servidor</w:t>
      </w:r>
      <w:r w:rsidR="00982AE9">
        <w:rPr>
          <w:rFonts w:ascii="Courier New" w:hAnsi="Courier New" w:cs="Courier New"/>
          <w:sz w:val="22"/>
        </w:rPr>
        <w:t>es</w:t>
      </w:r>
      <w:r>
        <w:rPr>
          <w:rFonts w:ascii="Courier New" w:hAnsi="Courier New" w:cs="Courier New"/>
          <w:sz w:val="22"/>
        </w:rPr>
        <w:t xml:space="preserve"> em questão dever</w:t>
      </w:r>
      <w:r w:rsidR="00982AE9">
        <w:rPr>
          <w:rFonts w:ascii="Courier New" w:hAnsi="Courier New" w:cs="Courier New"/>
          <w:sz w:val="22"/>
        </w:rPr>
        <w:t>ão</w:t>
      </w:r>
      <w:r>
        <w:rPr>
          <w:rFonts w:ascii="Courier New" w:hAnsi="Courier New" w:cs="Courier New"/>
          <w:sz w:val="22"/>
        </w:rPr>
        <w:t xml:space="preserve"> est</w:t>
      </w:r>
      <w:r w:rsidR="00982AE9">
        <w:rPr>
          <w:rFonts w:ascii="Courier New" w:hAnsi="Courier New" w:cs="Courier New"/>
          <w:sz w:val="22"/>
        </w:rPr>
        <w:t>ar</w:t>
      </w:r>
      <w:r>
        <w:rPr>
          <w:rFonts w:ascii="Courier New" w:hAnsi="Courier New" w:cs="Courier New"/>
          <w:sz w:val="22"/>
        </w:rPr>
        <w:t xml:space="preserve"> a inteira disposição do gestor, podendo ser convocado, a bem do serviço público, a qualquer momento para o trabalho presencial. </w:t>
      </w:r>
    </w:p>
    <w:p w14:paraId="0A426F4D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31B484D6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7558D17E" w14:textId="77777777" w:rsidR="00C7726F" w:rsidRDefault="00C7726F" w:rsidP="00C7726F">
      <w:pPr>
        <w:pStyle w:val="TextosemFormatao"/>
        <w:ind w:firstLine="720"/>
        <w:jc w:val="both"/>
        <w:rPr>
          <w:sz w:val="22"/>
        </w:rPr>
      </w:pPr>
      <w:r>
        <w:rPr>
          <w:rFonts w:cs="Courier New"/>
          <w:b/>
          <w:sz w:val="22"/>
          <w:szCs w:val="22"/>
        </w:rPr>
        <w:t>Art. 2</w:t>
      </w:r>
      <w:r w:rsidRPr="00B54256">
        <w:rPr>
          <w:rFonts w:cs="Courier New"/>
          <w:b/>
          <w:sz w:val="22"/>
          <w:szCs w:val="22"/>
        </w:rPr>
        <w:t>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>Aos servidores que foi concedido a condição de home office estabelecido no artigo 1º desta Portaria não poderão exercer outras atividades dentro da sua carga horária sob pena de responder administrativamente, e obrigatoriamente deverão permanecer em suas residências nos horários de expediente.</w:t>
      </w:r>
    </w:p>
    <w:p w14:paraId="6B69C11D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53225691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675FDB34" w14:textId="77777777" w:rsidR="00C7726F" w:rsidRDefault="00C7726F" w:rsidP="00C7726F">
      <w:pPr>
        <w:pStyle w:val="TextosemFormatao"/>
        <w:jc w:val="both"/>
        <w:rPr>
          <w:sz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 xml:space="preserve">Esta Portaria entra em vigor na data de sua publicação. </w:t>
      </w:r>
    </w:p>
    <w:p w14:paraId="6369549F" w14:textId="77777777" w:rsidR="00C7726F" w:rsidRPr="00D266EB" w:rsidRDefault="00C7726F" w:rsidP="00C7726F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</w:p>
    <w:p w14:paraId="5AE045D4" w14:textId="77777777" w:rsidR="00C7726F" w:rsidRDefault="00C7726F" w:rsidP="00C7726F">
      <w:pPr>
        <w:pStyle w:val="TextosemFormatao"/>
        <w:jc w:val="right"/>
        <w:rPr>
          <w:sz w:val="22"/>
        </w:rPr>
      </w:pPr>
    </w:p>
    <w:p w14:paraId="68E3CFB2" w14:textId="77777777" w:rsidR="00C7726F" w:rsidRDefault="00C7726F" w:rsidP="00C7726F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14:paraId="06A3DF45" w14:textId="44D58309" w:rsidR="00C7726F" w:rsidRPr="007C4E3E" w:rsidRDefault="00C7726F" w:rsidP="00C7726F">
      <w:pPr>
        <w:pStyle w:val="TextosemFormatao"/>
        <w:jc w:val="right"/>
        <w:outlineLvl w:val="0"/>
        <w:rPr>
          <w:color w:val="FF0000"/>
          <w:sz w:val="22"/>
        </w:rPr>
      </w:pPr>
      <w:r w:rsidRPr="007C4E3E">
        <w:rPr>
          <w:color w:val="FF0000"/>
          <w:sz w:val="22"/>
        </w:rPr>
        <w:t xml:space="preserve">         </w:t>
      </w:r>
      <w:r w:rsidRPr="0015770A">
        <w:rPr>
          <w:sz w:val="22"/>
        </w:rPr>
        <w:t xml:space="preserve">Gabinete do Executivo Municipal, </w:t>
      </w:r>
      <w:r w:rsidR="0015770A" w:rsidRPr="0015770A">
        <w:rPr>
          <w:sz w:val="22"/>
        </w:rPr>
        <w:t>21</w:t>
      </w:r>
      <w:r w:rsidRPr="0015770A">
        <w:rPr>
          <w:sz w:val="22"/>
        </w:rPr>
        <w:t xml:space="preserve"> de </w:t>
      </w:r>
      <w:r w:rsidR="007C4E3E" w:rsidRPr="0015770A">
        <w:rPr>
          <w:sz w:val="22"/>
        </w:rPr>
        <w:t>dezembro</w:t>
      </w:r>
      <w:r w:rsidRPr="0015770A">
        <w:rPr>
          <w:sz w:val="22"/>
        </w:rPr>
        <w:t xml:space="preserve"> de 2022.</w:t>
      </w:r>
    </w:p>
    <w:p w14:paraId="57B91A5B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7334E90D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4FDD8950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00E9A9FE" w14:textId="77777777" w:rsidR="00C7726F" w:rsidRPr="00BF069F" w:rsidRDefault="00C7726F" w:rsidP="00C7726F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2440A3">
        <w:rPr>
          <w:rFonts w:cs="Courier New"/>
          <w:b/>
          <w:sz w:val="22"/>
          <w:szCs w:val="22"/>
        </w:rPr>
        <w:t>SILVANO DE PARIZ</w:t>
      </w:r>
    </w:p>
    <w:p w14:paraId="1F2B2647" w14:textId="77777777" w:rsidR="00C7726F" w:rsidRPr="007014E6" w:rsidRDefault="00C7726F" w:rsidP="00C7726F">
      <w:pPr>
        <w:pStyle w:val="TextosemFormatao"/>
        <w:jc w:val="center"/>
        <w:rPr>
          <w:rFonts w:cs="Courier New"/>
          <w:sz w:val="22"/>
          <w:szCs w:val="22"/>
        </w:rPr>
      </w:pPr>
      <w:r w:rsidRPr="002440A3">
        <w:rPr>
          <w:rFonts w:cs="Courier New"/>
          <w:sz w:val="22"/>
          <w:szCs w:val="22"/>
        </w:rPr>
        <w:t>Prefeito Municipal</w:t>
      </w:r>
    </w:p>
    <w:p w14:paraId="556843B1" w14:textId="77777777" w:rsidR="00C7726F" w:rsidRDefault="00C7726F" w:rsidP="00C7726F">
      <w:pPr>
        <w:pStyle w:val="TextosemFormatao"/>
        <w:jc w:val="both"/>
        <w:outlineLvl w:val="0"/>
        <w:rPr>
          <w:sz w:val="22"/>
        </w:rPr>
      </w:pPr>
    </w:p>
    <w:p w14:paraId="1BF9B0BC" w14:textId="77777777" w:rsidR="00C7726F" w:rsidRDefault="00C7726F" w:rsidP="00C7726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14:paraId="54FDECC5" w14:textId="671CD19A" w:rsidR="00C7726F" w:rsidRDefault="00C7726F" w:rsidP="00C7726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</w:t>
      </w:r>
      <w:r w:rsidR="0015770A">
        <w:rPr>
          <w:sz w:val="22"/>
        </w:rPr>
        <w:t>12</w:t>
      </w:r>
      <w:bookmarkStart w:id="1" w:name="_GoBack"/>
      <w:bookmarkEnd w:id="1"/>
      <w:r>
        <w:rPr>
          <w:sz w:val="22"/>
        </w:rPr>
        <w:t>/2022</w:t>
      </w:r>
    </w:p>
    <w:p w14:paraId="2C711E8E" w14:textId="77777777" w:rsidR="00C7726F" w:rsidRDefault="00C7726F" w:rsidP="00C7726F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>
        <w:rPr>
          <w:sz w:val="22"/>
          <w:u w:val="single"/>
        </w:rPr>
        <w:t xml:space="preserve">           </w:t>
      </w:r>
    </w:p>
    <w:p w14:paraId="0AADF106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4E0438F0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13092D27" w14:textId="77777777" w:rsidR="00C7726F" w:rsidRDefault="00C7726F" w:rsidP="00C7726F">
      <w:pPr>
        <w:pStyle w:val="TextosemFormatao"/>
        <w:jc w:val="both"/>
        <w:rPr>
          <w:sz w:val="22"/>
        </w:rPr>
      </w:pPr>
      <w:r>
        <w:rPr>
          <w:sz w:val="22"/>
        </w:rPr>
        <w:t>Anderson Cesar Peretti</w:t>
      </w:r>
    </w:p>
    <w:p w14:paraId="6215DC1A" w14:textId="77777777" w:rsidR="00C7726F" w:rsidRPr="0069306A" w:rsidRDefault="00C7726F" w:rsidP="00C7726F">
      <w:pPr>
        <w:pStyle w:val="TextosemFormatao"/>
        <w:jc w:val="both"/>
      </w:pPr>
      <w:r>
        <w:rPr>
          <w:sz w:val="22"/>
        </w:rPr>
        <w:t>Servidor Designado</w:t>
      </w:r>
    </w:p>
    <w:sectPr w:rsidR="00C7726F" w:rsidRPr="0069306A" w:rsidSect="009944B5">
      <w:headerReference w:type="default" r:id="rId8"/>
      <w:footerReference w:type="even" r:id="rId9"/>
      <w:footerReference w:type="default" r:id="rId10"/>
      <w:pgSz w:w="11907" w:h="16840"/>
      <w:pgMar w:top="2127" w:right="850" w:bottom="1134" w:left="1701" w:header="51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6F21" w14:textId="77777777" w:rsidR="00BC2762" w:rsidRDefault="00BC2762">
      <w:r>
        <w:separator/>
      </w:r>
    </w:p>
  </w:endnote>
  <w:endnote w:type="continuationSeparator" w:id="0">
    <w:p w14:paraId="1C026E18" w14:textId="77777777" w:rsidR="00BC2762" w:rsidRDefault="00BC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62EE" w14:textId="77777777" w:rsidR="002755AA" w:rsidRDefault="00FC5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50F025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63AF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03C51" w14:textId="77777777" w:rsidR="00BC2762" w:rsidRDefault="00BC2762">
      <w:r>
        <w:separator/>
      </w:r>
    </w:p>
  </w:footnote>
  <w:footnote w:type="continuationSeparator" w:id="0">
    <w:p w14:paraId="05526CE2" w14:textId="77777777" w:rsidR="00BC2762" w:rsidRDefault="00BC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FECD2" w14:textId="77777777" w:rsidR="002755AA" w:rsidRDefault="002755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urier New" w:eastAsia="Courier New" w:hAnsi="Courier New" w:cs="Courier New"/>
        <w:color w:val="000000"/>
        <w:sz w:val="22"/>
        <w:szCs w:val="22"/>
      </w:rPr>
    </w:pPr>
  </w:p>
  <w:tbl>
    <w:tblPr>
      <w:tblStyle w:val="a"/>
      <w:tblW w:w="8928" w:type="dxa"/>
      <w:tblInd w:w="0" w:type="dxa"/>
      <w:tblLayout w:type="fixed"/>
      <w:tblLook w:val="0000" w:firstRow="0" w:lastRow="0" w:firstColumn="0" w:lastColumn="0" w:noHBand="0" w:noVBand="0"/>
    </w:tblPr>
    <w:tblGrid>
      <w:gridCol w:w="1346"/>
      <w:gridCol w:w="7582"/>
    </w:tblGrid>
    <w:tr w:rsidR="002755AA" w14:paraId="435397F2" w14:textId="77777777">
      <w:tc>
        <w:tcPr>
          <w:tcW w:w="1346" w:type="dxa"/>
        </w:tcPr>
        <w:p w14:paraId="5F8CF5DA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0740F9D1" wp14:editId="62BC7EE5">
                <wp:simplePos x="0" y="0"/>
                <wp:positionH relativeFrom="column">
                  <wp:posOffset>14101</wp:posOffset>
                </wp:positionH>
                <wp:positionV relativeFrom="paragraph">
                  <wp:posOffset>-4097</wp:posOffset>
                </wp:positionV>
                <wp:extent cx="698500" cy="7366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3DC08390" w14:textId="77777777" w:rsidR="002755AA" w:rsidRDefault="002755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Open Sans Medium" w:eastAsia="Open Sans Medium" w:hAnsi="Open Sans Medium" w:cs="Open Sans Medium"/>
              <w:color w:val="000000"/>
              <w:sz w:val="24"/>
              <w:szCs w:val="24"/>
            </w:rPr>
          </w:pPr>
        </w:p>
        <w:p w14:paraId="1D83FD36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Estado de Santa Catarina</w:t>
          </w:r>
        </w:p>
        <w:p w14:paraId="6B95C88C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MUNICIPIO DE QUILOMBO</w:t>
          </w:r>
        </w:p>
        <w:p w14:paraId="6C3B8B15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Secretaria Municipal de Educação, Cultura e Esportes</w:t>
          </w:r>
        </w:p>
      </w:tc>
    </w:tr>
  </w:tbl>
  <w:p w14:paraId="78F8E75E" w14:textId="77777777" w:rsidR="002755AA" w:rsidRDefault="002755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AA"/>
    <w:rsid w:val="00014843"/>
    <w:rsid w:val="00087325"/>
    <w:rsid w:val="000C454A"/>
    <w:rsid w:val="000D2F85"/>
    <w:rsid w:val="00111457"/>
    <w:rsid w:val="0015770A"/>
    <w:rsid w:val="001B21F7"/>
    <w:rsid w:val="002755AA"/>
    <w:rsid w:val="002C10A2"/>
    <w:rsid w:val="003031EC"/>
    <w:rsid w:val="00356C28"/>
    <w:rsid w:val="003C7B23"/>
    <w:rsid w:val="00464D58"/>
    <w:rsid w:val="004E4E38"/>
    <w:rsid w:val="004F7169"/>
    <w:rsid w:val="005163C9"/>
    <w:rsid w:val="0053735F"/>
    <w:rsid w:val="0055164F"/>
    <w:rsid w:val="006933EB"/>
    <w:rsid w:val="007B0C63"/>
    <w:rsid w:val="007C4E3E"/>
    <w:rsid w:val="007E175F"/>
    <w:rsid w:val="007F02F9"/>
    <w:rsid w:val="00833C32"/>
    <w:rsid w:val="008808A5"/>
    <w:rsid w:val="008D6FD4"/>
    <w:rsid w:val="009421DB"/>
    <w:rsid w:val="00982AE9"/>
    <w:rsid w:val="009944B5"/>
    <w:rsid w:val="009C3D9B"/>
    <w:rsid w:val="00A40D6A"/>
    <w:rsid w:val="00B12AE8"/>
    <w:rsid w:val="00BC0475"/>
    <w:rsid w:val="00BC2762"/>
    <w:rsid w:val="00C36FAE"/>
    <w:rsid w:val="00C7726F"/>
    <w:rsid w:val="00CC5EF7"/>
    <w:rsid w:val="00DC0446"/>
    <w:rsid w:val="00E67C70"/>
    <w:rsid w:val="00ED6C65"/>
    <w:rsid w:val="00F12A53"/>
    <w:rsid w:val="00F81DC8"/>
    <w:rsid w:val="00FC5F06"/>
    <w:rsid w:val="00FC5F90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8430"/>
  <w15:docId w15:val="{A4EAEF4E-1597-4096-B51E-1A41397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i4ZTt9IY1Otja/SYh592FCgGA==">AMUW2mXLVi035dJf1yP5Tvz2IUdfjVKp4KiRMMnHT5UlxNvOqdbtDzwnAhpoFcn/OXHOLWo9Ijh7XlY8bhRGpojAxwSb4ZEofmJgXmdXPRKaK5UIHjk/ATbeObErrYvB2q2cNpfGOPHq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F4E2AE-E8E1-429B-88CB-89316CE3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RH2</cp:lastModifiedBy>
  <cp:revision>2</cp:revision>
  <cp:lastPrinted>2022-12-20T18:34:00Z</cp:lastPrinted>
  <dcterms:created xsi:type="dcterms:W3CDTF">2022-12-21T19:21:00Z</dcterms:created>
  <dcterms:modified xsi:type="dcterms:W3CDTF">2022-12-21T19:21:00Z</dcterms:modified>
</cp:coreProperties>
</file>